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F96AE2" w:rsidRPr="0077506C" w:rsidTr="0077506C">
        <w:tc>
          <w:tcPr>
            <w:tcW w:w="9923" w:type="dxa"/>
            <w:gridSpan w:val="8"/>
            <w:shd w:val="clear" w:color="auto" w:fill="FFFFFF" w:themeFill="background1"/>
          </w:tcPr>
          <w:p w:rsidR="00F96AE2" w:rsidRPr="0077506C" w:rsidRDefault="00F96AE2" w:rsidP="0077506C">
            <w:pPr>
              <w:shd w:val="clear" w:color="auto" w:fill="FFFFFF" w:themeFill="background1"/>
              <w:jc w:val="center"/>
              <w:rPr>
                <w:b/>
                <w:szCs w:val="24"/>
              </w:rPr>
            </w:pPr>
            <w:bookmarkStart w:id="0" w:name="_GoBack"/>
            <w:bookmarkEnd w:id="0"/>
            <w:r w:rsidRPr="0077506C">
              <w:rPr>
                <w:b/>
                <w:szCs w:val="24"/>
              </w:rPr>
              <w:t>PRILOG 1.</w:t>
            </w:r>
          </w:p>
          <w:p w:rsidR="00F96AE2" w:rsidRPr="0077506C" w:rsidRDefault="00F96AE2" w:rsidP="0077506C">
            <w:pPr>
              <w:shd w:val="clear" w:color="auto" w:fill="FFFFFF" w:themeFill="background1"/>
              <w:jc w:val="center"/>
              <w:rPr>
                <w:b/>
                <w:szCs w:val="24"/>
              </w:rPr>
            </w:pPr>
            <w:r w:rsidRPr="0077506C">
              <w:rPr>
                <w:b/>
                <w:szCs w:val="24"/>
              </w:rPr>
              <w:t>OBRAZAC PRETHODNE PROCJENE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OPĆE INFORMACIJE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F96AE2" w:rsidRPr="0077506C" w:rsidRDefault="00802166" w:rsidP="0077506C">
            <w:pPr>
              <w:shd w:val="clear" w:color="auto" w:fill="FFFFFF" w:themeFill="background1"/>
              <w:rPr>
                <w:szCs w:val="24"/>
              </w:rPr>
            </w:pPr>
            <w:r>
              <w:rPr>
                <w:szCs w:val="24"/>
              </w:rPr>
              <w:t>Ministarstvo zdravstva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F96AE2" w:rsidRPr="0077506C" w:rsidRDefault="00802166" w:rsidP="0077506C">
            <w:pPr>
              <w:shd w:val="clear" w:color="auto" w:fill="FFFFFF" w:themeFill="background1"/>
              <w:rPr>
                <w:szCs w:val="24"/>
              </w:rPr>
            </w:pPr>
            <w:r>
              <w:rPr>
                <w:szCs w:val="24"/>
              </w:rPr>
              <w:t>Nacrt prijedloga Zakona o izmjenama i dopunama Zakona o lijekovima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F96AE2" w:rsidRPr="0077506C" w:rsidRDefault="00F96AE2" w:rsidP="0077506C">
            <w:pPr>
              <w:shd w:val="clear" w:color="auto" w:fill="FFFFFF" w:themeFill="background1"/>
              <w:rPr>
                <w:szCs w:val="24"/>
              </w:rPr>
            </w:pP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1.4.</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F96AE2" w:rsidRDefault="00802166" w:rsidP="0077506C">
            <w:pPr>
              <w:shd w:val="clear" w:color="auto" w:fill="FFFFFF" w:themeFill="background1"/>
              <w:rPr>
                <w:szCs w:val="24"/>
              </w:rPr>
            </w:pPr>
            <w:r>
              <w:rPr>
                <w:szCs w:val="24"/>
              </w:rPr>
              <w:t>Glavno tajništvo, Sektor za pravne poslove, Služba za normativne poslove</w:t>
            </w:r>
          </w:p>
          <w:p w:rsidR="00802166" w:rsidRPr="0077506C" w:rsidRDefault="00802166" w:rsidP="0077506C">
            <w:pPr>
              <w:shd w:val="clear" w:color="auto" w:fill="FFFFFF" w:themeFill="background1"/>
              <w:rPr>
                <w:szCs w:val="24"/>
              </w:rPr>
            </w:pP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1.5.</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r w:rsidR="00072490">
              <w:rPr>
                <w:szCs w:val="24"/>
              </w:rPr>
              <w:t xml:space="preserve"> DA</w:t>
            </w:r>
          </w:p>
          <w:p w:rsidR="00F96AE2" w:rsidRPr="0077506C" w:rsidRDefault="00F96AE2" w:rsidP="0077506C">
            <w:pPr>
              <w:shd w:val="clear" w:color="auto" w:fill="FFFFFF" w:themeFill="background1"/>
              <w:rPr>
                <w:szCs w:val="24"/>
              </w:rPr>
            </w:pPr>
          </w:p>
        </w:tc>
        <w:tc>
          <w:tcPr>
            <w:tcW w:w="3260" w:type="dxa"/>
            <w:gridSpan w:val="5"/>
            <w:shd w:val="clear" w:color="auto" w:fill="FFFFFF" w:themeFill="background1"/>
          </w:tcPr>
          <w:p w:rsidR="00F96AE2" w:rsidRDefault="00F96AE2" w:rsidP="0077506C">
            <w:pPr>
              <w:shd w:val="clear" w:color="auto" w:fill="FFFFFF" w:themeFill="background1"/>
              <w:rPr>
                <w:szCs w:val="24"/>
              </w:rPr>
            </w:pPr>
            <w:r w:rsidRPr="0077506C">
              <w:rPr>
                <w:szCs w:val="24"/>
              </w:rPr>
              <w:t>Naziv akta:</w:t>
            </w:r>
          </w:p>
          <w:p w:rsidR="00072490" w:rsidRPr="0077506C" w:rsidRDefault="00072490" w:rsidP="0077506C">
            <w:pPr>
              <w:shd w:val="clear" w:color="auto" w:fill="FFFFFF" w:themeFill="background1"/>
              <w:rPr>
                <w:szCs w:val="24"/>
              </w:rPr>
            </w:pPr>
            <w:r>
              <w:rPr>
                <w:szCs w:val="24"/>
              </w:rPr>
              <w:t>Program Vlade Republike Hrvatske za mandat 2016.-2020.</w:t>
            </w:r>
          </w:p>
          <w:p w:rsidR="00F96AE2" w:rsidRPr="0077506C" w:rsidRDefault="00F96AE2" w:rsidP="0077506C">
            <w:pPr>
              <w:shd w:val="clear" w:color="auto" w:fill="FFFFFF" w:themeFill="background1"/>
              <w:rPr>
                <w:szCs w:val="24"/>
              </w:rPr>
            </w:pPr>
          </w:p>
          <w:p w:rsidR="00F96AE2" w:rsidRDefault="00F96AE2" w:rsidP="0077506C">
            <w:pPr>
              <w:shd w:val="clear" w:color="auto" w:fill="FFFFFF" w:themeFill="background1"/>
              <w:rPr>
                <w:szCs w:val="24"/>
              </w:rPr>
            </w:pPr>
            <w:r w:rsidRPr="0077506C">
              <w:rPr>
                <w:szCs w:val="24"/>
              </w:rPr>
              <w:t>Opis mjere:</w:t>
            </w:r>
          </w:p>
          <w:p w:rsidR="00072490" w:rsidRDefault="00072490" w:rsidP="0077506C">
            <w:pPr>
              <w:shd w:val="clear" w:color="auto" w:fill="FFFFFF" w:themeFill="background1"/>
              <w:rPr>
                <w:szCs w:val="24"/>
              </w:rPr>
            </w:pPr>
            <w:r>
              <w:rPr>
                <w:szCs w:val="24"/>
              </w:rPr>
              <w:t>Mjera je navedena u točki 9.2. Zdravstvo</w:t>
            </w:r>
          </w:p>
          <w:p w:rsidR="00072490" w:rsidRDefault="00072490" w:rsidP="00072490">
            <w:pPr>
              <w:pStyle w:val="Odlomakpopisa"/>
              <w:numPr>
                <w:ilvl w:val="0"/>
                <w:numId w:val="44"/>
              </w:numPr>
              <w:shd w:val="clear" w:color="auto" w:fill="FFFFFF" w:themeFill="background1"/>
              <w:rPr>
                <w:szCs w:val="24"/>
              </w:rPr>
            </w:pPr>
            <w:r w:rsidRPr="00072490">
              <w:rPr>
                <w:szCs w:val="24"/>
              </w:rPr>
              <w:t xml:space="preserve">Racionalizacija i financijska stabilizacija zdravstvenog sustava </w:t>
            </w:r>
          </w:p>
          <w:p w:rsidR="00072490" w:rsidRPr="00072490" w:rsidRDefault="00072490" w:rsidP="00072490">
            <w:pPr>
              <w:pStyle w:val="Odlomakpopisa"/>
              <w:shd w:val="clear" w:color="auto" w:fill="FFFFFF" w:themeFill="background1"/>
              <w:ind w:left="780"/>
              <w:rPr>
                <w:szCs w:val="24"/>
              </w:rPr>
            </w:pPr>
            <w:r>
              <w:rPr>
                <w:szCs w:val="24"/>
              </w:rPr>
              <w:t>- revizija i optimalizacija Liste lijekova</w:t>
            </w:r>
          </w:p>
          <w:p w:rsidR="00072490" w:rsidRPr="0077506C" w:rsidRDefault="00072490" w:rsidP="0077506C">
            <w:pPr>
              <w:shd w:val="clear" w:color="auto" w:fill="FFFFFF" w:themeFill="background1"/>
              <w:rPr>
                <w:szCs w:val="24"/>
              </w:rPr>
            </w:pP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1.6.</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r w:rsidR="00072490">
              <w:rPr>
                <w:szCs w:val="24"/>
              </w:rPr>
              <w:t xml:space="preserve"> DA</w:t>
            </w:r>
          </w:p>
          <w:p w:rsidR="00F96AE2" w:rsidRPr="0077506C" w:rsidRDefault="00F96AE2" w:rsidP="0077506C">
            <w:pPr>
              <w:shd w:val="clear" w:color="auto" w:fill="FFFFFF" w:themeFill="background1"/>
              <w:rPr>
                <w:szCs w:val="24"/>
              </w:rPr>
            </w:pPr>
          </w:p>
        </w:tc>
        <w:tc>
          <w:tcPr>
            <w:tcW w:w="3260" w:type="dxa"/>
            <w:gridSpan w:val="5"/>
            <w:shd w:val="clear" w:color="auto" w:fill="FFFFFF" w:themeFill="background1"/>
          </w:tcPr>
          <w:p w:rsidR="00F96AE2" w:rsidRDefault="00F96AE2" w:rsidP="0077506C">
            <w:pPr>
              <w:shd w:val="clear" w:color="auto" w:fill="FFFFFF" w:themeFill="background1"/>
              <w:rPr>
                <w:szCs w:val="24"/>
              </w:rPr>
            </w:pPr>
            <w:r w:rsidRPr="0077506C">
              <w:rPr>
                <w:szCs w:val="24"/>
              </w:rPr>
              <w:t>Naziv pravne stečevine EU:</w:t>
            </w:r>
          </w:p>
          <w:p w:rsidR="00072490" w:rsidRPr="0077506C" w:rsidRDefault="00072490" w:rsidP="0077506C">
            <w:pPr>
              <w:shd w:val="clear" w:color="auto" w:fill="FFFFFF" w:themeFill="background1"/>
              <w:rPr>
                <w:szCs w:val="24"/>
              </w:rPr>
            </w:pPr>
            <w:r>
              <w:rPr>
                <w:szCs w:val="24"/>
              </w:rPr>
              <w:t>Direktiva  Vijeća 89/105/EEZ od 21. prosinca 1988. o transparentnim mjerilima kojima se utvrđuje određivanje cijena lijekova za primjenu kod ljudi i njihovo uvrštavanje u nacionalne sustave zdravstvenog osiguranja</w:t>
            </w:r>
          </w:p>
        </w:tc>
      </w:tr>
      <w:tr w:rsidR="00F96AE2" w:rsidRPr="0077506C" w:rsidTr="0077506C">
        <w:trPr>
          <w:trHeight w:val="314"/>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ANALIZA POSTOJEĆEG STANJA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rsidR="00072490" w:rsidRPr="00072490" w:rsidRDefault="00587EA6" w:rsidP="00072490">
            <w:pPr>
              <w:jc w:val="both"/>
              <w:rPr>
                <w:rFonts w:eastAsia="Times New Roman"/>
                <w:color w:val="000000"/>
                <w:szCs w:val="24"/>
              </w:rPr>
            </w:pPr>
            <w:r w:rsidRPr="008D1C79">
              <w:rPr>
                <w:rFonts w:eastAsia="Times New Roman"/>
                <w:color w:val="000000"/>
                <w:szCs w:val="24"/>
              </w:rPr>
              <w:t xml:space="preserve">Sukladno važećem Zakonu o lijekovima („Narodne novine“, br. 76/13 i 90/14) </w:t>
            </w:r>
            <w:r w:rsidR="00072490" w:rsidRPr="00072490">
              <w:rPr>
                <w:rFonts w:eastAsia="Times New Roman"/>
                <w:color w:val="000000"/>
                <w:szCs w:val="24"/>
              </w:rPr>
              <w:t xml:space="preserve">nositelji odobrenja za stavljanje lijeka u promet mogu  Hrvatskom zavodu za zdravstveno osiguranje podnijeti prijedlog cijene lijeka prilikom stavljanja lijekova na osnovnu, odnosno dopunsku listu lijekova te prijedlog za stavljanje lijeka na osnovnu, odnosno dopunsku listu lijekova Hrvatskog zavoda za zdravstveno osiguranje. O podnesenim prijedlozima Zavod u propisanom roku donosi rješenje. </w:t>
            </w:r>
          </w:p>
          <w:p w:rsidR="00072490" w:rsidRPr="00072490" w:rsidRDefault="00072490" w:rsidP="00072490">
            <w:pPr>
              <w:jc w:val="both"/>
              <w:rPr>
                <w:rFonts w:eastAsia="Times New Roman"/>
                <w:color w:val="000000"/>
                <w:szCs w:val="24"/>
              </w:rPr>
            </w:pPr>
          </w:p>
          <w:p w:rsidR="008D1C79" w:rsidRPr="00B96F82" w:rsidRDefault="00072490" w:rsidP="008D1C79">
            <w:pPr>
              <w:jc w:val="both"/>
              <w:rPr>
                <w:szCs w:val="24"/>
                <w:lang w:eastAsia="en-US"/>
              </w:rPr>
            </w:pPr>
            <w:r w:rsidRPr="00072490">
              <w:rPr>
                <w:rFonts w:eastAsia="Times New Roman"/>
                <w:color w:val="000000"/>
                <w:szCs w:val="24"/>
              </w:rPr>
              <w:t xml:space="preserve">Pravilnicima </w:t>
            </w:r>
            <w:r w:rsidR="008D1C79">
              <w:rPr>
                <w:rFonts w:eastAsia="Times New Roman"/>
                <w:color w:val="000000"/>
                <w:szCs w:val="24"/>
              </w:rPr>
              <w:t xml:space="preserve">donesenim na temelju važećeg Zakona o lijekovima i to: </w:t>
            </w:r>
            <w:r w:rsidR="008D1C79" w:rsidRPr="008D1C79">
              <w:rPr>
                <w:rFonts w:eastAsia="Times New Roman"/>
                <w:color w:val="000000"/>
                <w:szCs w:val="24"/>
              </w:rPr>
              <w:t>Pravilnik</w:t>
            </w:r>
            <w:r w:rsidR="008D1C79">
              <w:rPr>
                <w:rFonts w:eastAsia="Times New Roman"/>
                <w:color w:val="000000"/>
                <w:szCs w:val="24"/>
              </w:rPr>
              <w:t>om</w:t>
            </w:r>
            <w:r w:rsidR="008D1C79" w:rsidRPr="008D1C79">
              <w:rPr>
                <w:rFonts w:eastAsia="Times New Roman"/>
                <w:color w:val="000000"/>
                <w:szCs w:val="24"/>
              </w:rPr>
              <w:t xml:space="preserve"> o mjerilima i načinu za određivanje cijena lijekova na veliko i o načinu izvješćivanja o </w:t>
            </w:r>
            <w:r w:rsidR="008D1C79" w:rsidRPr="008D1C79">
              <w:rPr>
                <w:rFonts w:eastAsia="Times New Roman"/>
                <w:color w:val="000000"/>
                <w:szCs w:val="24"/>
              </w:rPr>
              <w:lastRenderedPageBreak/>
              <w:t>cijenama na veliko (»Narodne novine«, broj 83/2013, 12/2014, 69/2014</w:t>
            </w:r>
            <w:r w:rsidR="008D1C79">
              <w:rPr>
                <w:rFonts w:eastAsia="Times New Roman"/>
                <w:color w:val="000000"/>
                <w:szCs w:val="24"/>
              </w:rPr>
              <w:t>,</w:t>
            </w:r>
            <w:r w:rsidR="008D1C79" w:rsidRPr="008D1C79">
              <w:rPr>
                <w:rFonts w:eastAsia="Times New Roman"/>
                <w:color w:val="000000"/>
                <w:szCs w:val="24"/>
              </w:rPr>
              <w:t xml:space="preserve"> 22/2015</w:t>
            </w:r>
            <w:r w:rsidR="008D1C79">
              <w:rPr>
                <w:rFonts w:eastAsia="Times New Roman"/>
                <w:color w:val="000000"/>
                <w:szCs w:val="24"/>
              </w:rPr>
              <w:t xml:space="preserve"> i 84/2015</w:t>
            </w:r>
            <w:r w:rsidR="008D1C79" w:rsidRPr="008D1C79">
              <w:rPr>
                <w:rFonts w:eastAsia="Times New Roman"/>
                <w:color w:val="000000"/>
                <w:szCs w:val="24"/>
              </w:rPr>
              <w:t>)</w:t>
            </w:r>
            <w:r w:rsidRPr="00072490">
              <w:rPr>
                <w:rFonts w:eastAsia="Times New Roman"/>
                <w:color w:val="000000"/>
                <w:szCs w:val="24"/>
              </w:rPr>
              <w:t xml:space="preserve"> </w:t>
            </w:r>
            <w:r w:rsidR="008D1C79">
              <w:rPr>
                <w:rFonts w:eastAsia="Times New Roman"/>
                <w:color w:val="000000"/>
                <w:szCs w:val="24"/>
              </w:rPr>
              <w:t xml:space="preserve"> i </w:t>
            </w:r>
            <w:r w:rsidR="008D1C79" w:rsidRPr="008D1C79">
              <w:rPr>
                <w:rFonts w:eastAsia="Times New Roman"/>
                <w:color w:val="000000"/>
                <w:szCs w:val="24"/>
              </w:rPr>
              <w:t>Pravilnik</w:t>
            </w:r>
            <w:r w:rsidR="008D1C79">
              <w:rPr>
                <w:rFonts w:eastAsia="Times New Roman"/>
                <w:color w:val="000000"/>
                <w:szCs w:val="24"/>
              </w:rPr>
              <w:t>om</w:t>
            </w:r>
            <w:r w:rsidR="008D1C79" w:rsidRPr="008D1C79">
              <w:rPr>
                <w:rFonts w:eastAsia="Times New Roman"/>
                <w:color w:val="000000"/>
                <w:szCs w:val="24"/>
              </w:rPr>
              <w:t xml:space="preserve"> o mjerilima za stavljanje lijekova na osnovnu i dopunsku listu lijekova Hrvatskog zavoda za zdravstveno osiguranje (»Narodne novine« broj 83/2013</w:t>
            </w:r>
            <w:r w:rsidR="008D1C79">
              <w:rPr>
                <w:rFonts w:eastAsia="Times New Roman"/>
                <w:color w:val="000000"/>
                <w:szCs w:val="24"/>
              </w:rPr>
              <w:t xml:space="preserve"> i 12/2014</w:t>
            </w:r>
            <w:r w:rsidR="008D1C79" w:rsidRPr="008D1C79">
              <w:rPr>
                <w:rFonts w:eastAsia="Times New Roman"/>
                <w:color w:val="000000"/>
                <w:szCs w:val="24"/>
              </w:rPr>
              <w:t>)</w:t>
            </w:r>
            <w:r w:rsidR="008D1C79">
              <w:rPr>
                <w:rFonts w:eastAsia="Times New Roman"/>
                <w:color w:val="000000"/>
                <w:szCs w:val="24"/>
              </w:rPr>
              <w:t xml:space="preserve"> </w:t>
            </w:r>
            <w:r w:rsidRPr="00072490">
              <w:rPr>
                <w:rFonts w:eastAsia="Times New Roman"/>
                <w:color w:val="000000"/>
                <w:szCs w:val="24"/>
              </w:rPr>
              <w:t>propisana su mjerila za određivanje cijene lijeka</w:t>
            </w:r>
            <w:r w:rsidR="008D1C79">
              <w:rPr>
                <w:rFonts w:eastAsia="Times New Roman"/>
                <w:color w:val="000000"/>
                <w:szCs w:val="24"/>
              </w:rPr>
              <w:t xml:space="preserve">, </w:t>
            </w:r>
            <w:r w:rsidRPr="00072490">
              <w:rPr>
                <w:rFonts w:eastAsia="Times New Roman"/>
                <w:color w:val="000000"/>
                <w:szCs w:val="24"/>
              </w:rPr>
              <w:t xml:space="preserve"> kao i mjerila za stavljanje lijekova na osnovnu, odnosno dopunsku listu lijekova Hrvatskog zavoda za zdravstveno osiguranje.</w:t>
            </w:r>
            <w:r w:rsidR="008D1C79" w:rsidRPr="00B96F82">
              <w:rPr>
                <w:szCs w:val="24"/>
                <w:lang w:eastAsia="en-US"/>
              </w:rPr>
              <w:t xml:space="preserve"> Mjerila za određivanje cijena lijekova na veliko su  usporedna cijena lijeka na veliko u drugim državama, razina usporedne cijene na veliko te farmakoekonomska studija.</w:t>
            </w:r>
            <w:r w:rsidR="008D1C79">
              <w:rPr>
                <w:szCs w:val="24"/>
                <w:lang w:eastAsia="en-US"/>
              </w:rPr>
              <w:t xml:space="preserve"> </w:t>
            </w:r>
          </w:p>
          <w:p w:rsidR="00072490" w:rsidRPr="00072490" w:rsidRDefault="00072490" w:rsidP="00072490">
            <w:pPr>
              <w:jc w:val="both"/>
              <w:rPr>
                <w:rFonts w:eastAsia="Times New Roman"/>
                <w:color w:val="000000"/>
                <w:szCs w:val="24"/>
              </w:rPr>
            </w:pPr>
          </w:p>
          <w:p w:rsidR="00072490" w:rsidRPr="00072490" w:rsidRDefault="00072490" w:rsidP="00072490">
            <w:pPr>
              <w:jc w:val="both"/>
              <w:rPr>
                <w:rFonts w:eastAsia="Times New Roman"/>
                <w:color w:val="000000"/>
                <w:szCs w:val="24"/>
              </w:rPr>
            </w:pPr>
          </w:p>
          <w:p w:rsidR="00587EA6" w:rsidRPr="008D1C79" w:rsidRDefault="00587EA6" w:rsidP="00072490">
            <w:pPr>
              <w:jc w:val="both"/>
              <w:rPr>
                <w:rFonts w:eastAsia="Times New Roman"/>
                <w:color w:val="000000"/>
                <w:szCs w:val="24"/>
              </w:rPr>
            </w:pPr>
            <w:r w:rsidRPr="008D1C79">
              <w:rPr>
                <w:rFonts w:eastAsia="Times New Roman"/>
                <w:color w:val="000000"/>
                <w:szCs w:val="24"/>
              </w:rPr>
              <w:t xml:space="preserve">Sukladno </w:t>
            </w:r>
            <w:r w:rsidR="008D1C79">
              <w:rPr>
                <w:rFonts w:eastAsia="Times New Roman"/>
                <w:color w:val="000000"/>
                <w:szCs w:val="24"/>
              </w:rPr>
              <w:t xml:space="preserve">važećem Zakonu </w:t>
            </w:r>
            <w:r w:rsidR="00045489">
              <w:rPr>
                <w:rFonts w:eastAsia="Times New Roman"/>
                <w:color w:val="000000"/>
                <w:szCs w:val="24"/>
              </w:rPr>
              <w:t xml:space="preserve">o lijekovima i </w:t>
            </w:r>
            <w:r w:rsidRPr="008D1C79">
              <w:rPr>
                <w:rFonts w:eastAsia="Times New Roman"/>
                <w:color w:val="000000"/>
                <w:szCs w:val="24"/>
              </w:rPr>
              <w:t>naveden</w:t>
            </w:r>
            <w:r w:rsidR="008D1C79">
              <w:rPr>
                <w:rFonts w:eastAsia="Times New Roman"/>
                <w:color w:val="000000"/>
                <w:szCs w:val="24"/>
              </w:rPr>
              <w:t>i</w:t>
            </w:r>
            <w:r w:rsidRPr="008D1C79">
              <w:rPr>
                <w:rFonts w:eastAsia="Times New Roman"/>
                <w:color w:val="000000"/>
                <w:szCs w:val="24"/>
              </w:rPr>
              <w:t xml:space="preserve">m </w:t>
            </w:r>
            <w:r w:rsidR="008D1C79">
              <w:rPr>
                <w:rFonts w:eastAsia="Times New Roman"/>
                <w:color w:val="000000"/>
                <w:szCs w:val="24"/>
              </w:rPr>
              <w:t>pravilnicima</w:t>
            </w:r>
            <w:r w:rsidRPr="008D1C79">
              <w:rPr>
                <w:rFonts w:eastAsia="Times New Roman"/>
                <w:color w:val="000000"/>
                <w:szCs w:val="24"/>
              </w:rPr>
              <w:t xml:space="preserve">  nositelji odobrenja obvezni su prodavati lijekove po </w:t>
            </w:r>
            <w:r w:rsidR="008D1C79">
              <w:rPr>
                <w:rFonts w:eastAsia="Times New Roman"/>
                <w:color w:val="000000"/>
                <w:szCs w:val="24"/>
              </w:rPr>
              <w:t xml:space="preserve">tako utvrđenim </w:t>
            </w:r>
            <w:r w:rsidRPr="008D1C79">
              <w:rPr>
                <w:rFonts w:eastAsia="Times New Roman"/>
                <w:color w:val="000000"/>
                <w:szCs w:val="24"/>
              </w:rPr>
              <w:t>cijenama</w:t>
            </w:r>
            <w:r w:rsidR="008D1C79">
              <w:rPr>
                <w:rFonts w:eastAsia="Times New Roman"/>
                <w:color w:val="000000"/>
                <w:szCs w:val="24"/>
              </w:rPr>
              <w:t>.</w:t>
            </w:r>
            <w:r w:rsidRPr="008D1C79">
              <w:rPr>
                <w:rFonts w:eastAsia="Times New Roman"/>
                <w:color w:val="000000"/>
                <w:szCs w:val="24"/>
              </w:rPr>
              <w:t xml:space="preserve"> </w:t>
            </w:r>
          </w:p>
          <w:p w:rsidR="00587EA6" w:rsidRPr="008D1C79" w:rsidRDefault="00587EA6" w:rsidP="00072490">
            <w:pPr>
              <w:jc w:val="both"/>
              <w:rPr>
                <w:rFonts w:eastAsia="Times New Roman"/>
                <w:color w:val="000000"/>
                <w:szCs w:val="24"/>
              </w:rPr>
            </w:pPr>
          </w:p>
          <w:p w:rsidR="00F96AE2" w:rsidRPr="0077506C" w:rsidRDefault="00072490" w:rsidP="0077506C">
            <w:pPr>
              <w:shd w:val="clear" w:color="auto" w:fill="FFFFFF" w:themeFill="background1"/>
              <w:rPr>
                <w:szCs w:val="24"/>
              </w:rPr>
            </w:pPr>
            <w:r w:rsidRPr="00072490">
              <w:rPr>
                <w:rFonts w:eastAsia="Times New Roman"/>
                <w:b/>
                <w:color w:val="000000"/>
                <w:szCs w:val="24"/>
              </w:rPr>
              <w:t xml:space="preserve">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2.2.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045489" w:rsidRPr="00045489" w:rsidRDefault="00045489" w:rsidP="00045489">
            <w:pPr>
              <w:shd w:val="clear" w:color="auto" w:fill="FFFFFF" w:themeFill="background1"/>
              <w:jc w:val="both"/>
              <w:rPr>
                <w:bCs/>
                <w:szCs w:val="24"/>
                <w:lang w:val="en-US"/>
              </w:rPr>
            </w:pPr>
            <w:r w:rsidRPr="00045489">
              <w:rPr>
                <w:szCs w:val="24"/>
              </w:rPr>
              <w:t xml:space="preserve">Izrada zakonskog prijedloga potrebna je </w:t>
            </w:r>
            <w:r>
              <w:rPr>
                <w:szCs w:val="24"/>
              </w:rPr>
              <w:t xml:space="preserve">radi uspostave novog sustava određivanja cijena lijekova u kojem bi Agencija za lijekove i medicinske proizvode utvrđivala najvišu dozvoljenu cijenu lijeka, a </w:t>
            </w:r>
            <w:r w:rsidRPr="00045489">
              <w:rPr>
                <w:rFonts w:eastAsia="Times New Roman"/>
                <w:color w:val="000000"/>
                <w:szCs w:val="24"/>
              </w:rPr>
              <w:t xml:space="preserve">Hrvatski zavod za zdravstveno osiguranje u daljnjem postupku mogao bi, </w:t>
            </w:r>
            <w:r w:rsidRPr="00045489">
              <w:rPr>
                <w:rFonts w:eastAsia="Times New Roman"/>
                <w:bCs/>
                <w:szCs w:val="24"/>
                <w:lang w:val="en-US" w:eastAsia="en-US"/>
              </w:rPr>
              <w:t>na temelju ugovora sklopljenog između nositelja odobrenja za stavljanje lijeka u promet ili veleprodaje, ugovoriti i nižu cijenu od utvrđene najviše dozvoljene</w:t>
            </w:r>
            <w:r w:rsidRPr="00045489">
              <w:rPr>
                <w:rFonts w:eastAsia="Times New Roman"/>
                <w:b/>
                <w:bCs/>
                <w:szCs w:val="24"/>
                <w:lang w:val="en-US" w:eastAsia="en-US"/>
              </w:rPr>
              <w:t xml:space="preserve"> </w:t>
            </w:r>
            <w:r w:rsidRPr="00045489">
              <w:rPr>
                <w:rFonts w:eastAsia="Times New Roman"/>
                <w:bCs/>
                <w:szCs w:val="24"/>
                <w:lang w:val="en-US" w:eastAsia="en-US"/>
              </w:rPr>
              <w:t>cijene lijeka.</w:t>
            </w:r>
            <w:r w:rsidRPr="00072490">
              <w:rPr>
                <w:rFonts w:eastAsia="Times New Roman"/>
                <w:b/>
                <w:bCs/>
                <w:szCs w:val="24"/>
                <w:lang w:val="en-US" w:eastAsia="en-US"/>
              </w:rPr>
              <w:t xml:space="preserve"> </w:t>
            </w:r>
            <w:r w:rsidRPr="00072490">
              <w:rPr>
                <w:rFonts w:eastAsia="Times New Roman"/>
                <w:b/>
                <w:color w:val="000000"/>
                <w:szCs w:val="24"/>
              </w:rPr>
              <w:t xml:space="preserve"> </w:t>
            </w:r>
          </w:p>
          <w:p w:rsidR="00045489" w:rsidRPr="00045489" w:rsidRDefault="00045489" w:rsidP="00045489">
            <w:pPr>
              <w:shd w:val="clear" w:color="auto" w:fill="FFFFFF" w:themeFill="background1"/>
              <w:rPr>
                <w:bCs/>
                <w:szCs w:val="24"/>
                <w:lang w:val="en-US"/>
              </w:rPr>
            </w:pPr>
            <w:r w:rsidRPr="00045489">
              <w:rPr>
                <w:bCs/>
                <w:szCs w:val="24"/>
                <w:lang w:val="en-US"/>
              </w:rPr>
              <w:t xml:space="preserve">Izrada zakonskoga prijedloga nužna je zbog utvrđivanja  jasnih </w:t>
            </w:r>
            <w:r>
              <w:rPr>
                <w:bCs/>
                <w:szCs w:val="24"/>
                <w:lang w:val="en-US"/>
              </w:rPr>
              <w:t>i</w:t>
            </w:r>
            <w:r w:rsidRPr="00045489">
              <w:rPr>
                <w:bCs/>
                <w:szCs w:val="24"/>
                <w:lang w:val="en-US"/>
              </w:rPr>
              <w:t xml:space="preserve"> transpartnetnih mjerila za određivanje cijena lijekova u skladu sa zahtjevima Dire</w:t>
            </w:r>
            <w:r>
              <w:rPr>
                <w:bCs/>
                <w:szCs w:val="24"/>
                <w:lang w:val="en-US"/>
              </w:rPr>
              <w:t>k</w:t>
            </w:r>
            <w:r w:rsidRPr="00045489">
              <w:rPr>
                <w:bCs/>
                <w:szCs w:val="24"/>
                <w:lang w:val="en-US"/>
              </w:rPr>
              <w:t>tive 89/105/EEZ</w:t>
            </w:r>
            <w:r w:rsidR="00195AA3">
              <w:rPr>
                <w:bCs/>
                <w:szCs w:val="24"/>
                <w:lang w:val="en-US"/>
              </w:rPr>
              <w:t>.</w:t>
            </w:r>
          </w:p>
          <w:p w:rsidR="00F96AE2" w:rsidRPr="0077506C" w:rsidRDefault="00F96AE2" w:rsidP="0077506C">
            <w:pPr>
              <w:shd w:val="clear" w:color="auto" w:fill="FFFFFF" w:themeFill="background1"/>
              <w:rPr>
                <w:szCs w:val="24"/>
              </w:rPr>
            </w:pPr>
          </w:p>
        </w:tc>
      </w:tr>
      <w:tr w:rsidR="00F96AE2" w:rsidRPr="0077506C" w:rsidTr="0077506C">
        <w:trPr>
          <w:trHeight w:val="85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dokaz, argument, analizu koja podržava potrebu za izradom nacrta prijedloga zakona.</w:t>
            </w:r>
          </w:p>
        </w:tc>
        <w:tc>
          <w:tcPr>
            <w:tcW w:w="6374" w:type="dxa"/>
            <w:gridSpan w:val="6"/>
            <w:shd w:val="clear" w:color="auto" w:fill="FFFFFF" w:themeFill="background1"/>
          </w:tcPr>
          <w:p w:rsidR="00F96AE2" w:rsidRPr="0077506C" w:rsidRDefault="00195AA3" w:rsidP="00093FA5">
            <w:pPr>
              <w:shd w:val="clear" w:color="auto" w:fill="FFFFFF" w:themeFill="background1"/>
              <w:jc w:val="both"/>
              <w:rPr>
                <w:szCs w:val="24"/>
              </w:rPr>
            </w:pPr>
            <w:r>
              <w:rPr>
                <w:szCs w:val="24"/>
              </w:rPr>
              <w:t>Optimalizacija postupka određivanja cijena lijekova</w:t>
            </w:r>
            <w:r w:rsidR="00826147">
              <w:rPr>
                <w:szCs w:val="24"/>
              </w:rPr>
              <w:t xml:space="preserve"> koje će biti javno dostupne i najviše dozvoljene cijene za lijekove koji se nalaze na važećim listama lijekova Zavoda ili se namjeravaju staviti na liste te otvaranje mogućnosti smanjenju izdataka za lijekove iz obveznog zdravstvenog osiguranja</w:t>
            </w:r>
            <w:r w:rsidR="00093FA5">
              <w:rPr>
                <w:szCs w:val="24"/>
              </w:rPr>
              <w:t>.</w:t>
            </w:r>
            <w:r w:rsidR="00826147">
              <w:rPr>
                <w:szCs w:val="24"/>
              </w:rPr>
              <w:t xml:space="preserve"> </w:t>
            </w:r>
          </w:p>
        </w:tc>
      </w:tr>
      <w:tr w:rsidR="00F96AE2" w:rsidRPr="0077506C" w:rsidTr="0077506C">
        <w:trPr>
          <w:trHeight w:val="240"/>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ISHODA ODNOSNO PROMJENA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F96AE2" w:rsidRPr="0077506C" w:rsidRDefault="00195AA3" w:rsidP="003E7DD3">
            <w:pPr>
              <w:shd w:val="clear" w:color="auto" w:fill="FFFFFF" w:themeFill="background1"/>
              <w:jc w:val="both"/>
              <w:rPr>
                <w:szCs w:val="24"/>
              </w:rPr>
            </w:pPr>
            <w:r>
              <w:rPr>
                <w:szCs w:val="24"/>
              </w:rPr>
              <w:t xml:space="preserve">Uspostava  novog sustava određivanja cijena  lijekova </w:t>
            </w:r>
            <w:r w:rsidR="003E7DD3">
              <w:rPr>
                <w:szCs w:val="24"/>
              </w:rPr>
              <w:t>za lijekove koji se nalaze na važećim listama lijekova Zavoda ili se namjeravaju staviti na liste.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F96AE2" w:rsidRPr="0077506C" w:rsidRDefault="00195AA3" w:rsidP="003E7DD3">
            <w:pPr>
              <w:shd w:val="clear" w:color="auto" w:fill="FFFFFF" w:themeFill="background1"/>
              <w:jc w:val="both"/>
              <w:rPr>
                <w:szCs w:val="24"/>
              </w:rPr>
            </w:pPr>
            <w:r>
              <w:rPr>
                <w:szCs w:val="24"/>
              </w:rPr>
              <w:t>Povećanje efikasnosti u postupcima određivanja cijena lijekova te njihovom stavljanju na osnovnu, odnosno dopunsku listu lijekova Hrvatskog zavoda za zdravstveno osiguranje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F96AE2" w:rsidRPr="0077506C" w:rsidRDefault="00093FA5" w:rsidP="0077506C">
            <w:pPr>
              <w:shd w:val="clear" w:color="auto" w:fill="FFFFFF" w:themeFill="background1"/>
              <w:rPr>
                <w:szCs w:val="24"/>
              </w:rPr>
            </w:pPr>
            <w:r>
              <w:rPr>
                <w:szCs w:val="24"/>
              </w:rPr>
              <w:t>Godinu dana</w:t>
            </w:r>
            <w:r w:rsidR="00C52408">
              <w:rPr>
                <w:szCs w:val="24"/>
              </w:rPr>
              <w:t xml:space="preserve"> od dana stupanja na snagu Zakona</w:t>
            </w:r>
          </w:p>
        </w:tc>
      </w:tr>
      <w:tr w:rsidR="00F96AE2" w:rsidRPr="0077506C" w:rsidTr="0077506C">
        <w:trPr>
          <w:trHeight w:val="368"/>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RJEŠENJA </w:t>
            </w:r>
          </w:p>
        </w:tc>
      </w:tr>
      <w:tr w:rsidR="00F96AE2" w:rsidRPr="0077506C" w:rsidTr="0077506C">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Navedite koja su moguća normativna rješenja za postizanje </w:t>
            </w:r>
            <w:r w:rsidRPr="0077506C">
              <w:rPr>
                <w:szCs w:val="24"/>
              </w:rPr>
              <w:lastRenderedPageBreak/>
              <w:t>navedenog ishoda.</w:t>
            </w:r>
          </w:p>
        </w:tc>
        <w:tc>
          <w:tcPr>
            <w:tcW w:w="6374" w:type="dxa"/>
            <w:gridSpan w:val="6"/>
            <w:shd w:val="clear" w:color="auto" w:fill="FFFFFF" w:themeFill="background1"/>
          </w:tcPr>
          <w:p w:rsidR="00F96AE2" w:rsidRPr="0077506C" w:rsidRDefault="00F96AE2" w:rsidP="003E7DD3">
            <w:pPr>
              <w:shd w:val="clear" w:color="auto" w:fill="FFFFFF" w:themeFill="background1"/>
              <w:jc w:val="both"/>
              <w:rPr>
                <w:szCs w:val="24"/>
              </w:rPr>
            </w:pPr>
            <w:r w:rsidRPr="0077506C">
              <w:rPr>
                <w:szCs w:val="24"/>
              </w:rPr>
              <w:lastRenderedPageBreak/>
              <w:t>Moguća normativna rješenja (novi propis/izmjene i dopune važećeg/stavljanje van snage propisa i slično):</w:t>
            </w:r>
          </w:p>
          <w:p w:rsidR="00F96AE2" w:rsidRPr="0077506C" w:rsidRDefault="00C52408" w:rsidP="0077506C">
            <w:pPr>
              <w:shd w:val="clear" w:color="auto" w:fill="FFFFFF" w:themeFill="background1"/>
              <w:rPr>
                <w:szCs w:val="24"/>
              </w:rPr>
            </w:pPr>
            <w:r>
              <w:rPr>
                <w:szCs w:val="24"/>
              </w:rPr>
              <w:t xml:space="preserve">Donošenje Zakona o izmjenama i dopunama Zakona o </w:t>
            </w:r>
            <w:r>
              <w:rPr>
                <w:szCs w:val="24"/>
              </w:rPr>
              <w:lastRenderedPageBreak/>
              <w:t>lijekovima</w:t>
            </w:r>
          </w:p>
        </w:tc>
      </w:tr>
      <w:tr w:rsidR="00F96AE2" w:rsidRPr="0077506C" w:rsidTr="0077506C">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w:t>
            </w:r>
          </w:p>
          <w:p w:rsidR="00C52408" w:rsidRPr="00C52408" w:rsidRDefault="00C52408" w:rsidP="00C52408">
            <w:pPr>
              <w:jc w:val="both"/>
              <w:rPr>
                <w:rFonts w:eastAsia="Times New Roman"/>
                <w:color w:val="000000"/>
                <w:szCs w:val="24"/>
              </w:rPr>
            </w:pPr>
            <w:r w:rsidRPr="00C52408">
              <w:rPr>
                <w:rFonts w:eastAsia="Times New Roman"/>
                <w:color w:val="000000"/>
                <w:szCs w:val="24"/>
              </w:rPr>
              <w:t>N</w:t>
            </w:r>
            <w:r>
              <w:rPr>
                <w:rFonts w:eastAsia="Times New Roman"/>
                <w:color w:val="000000"/>
                <w:szCs w:val="24"/>
              </w:rPr>
              <w:t xml:space="preserve">ormativnim rješenjem </w:t>
            </w:r>
            <w:r w:rsidRPr="00C52408">
              <w:rPr>
                <w:rFonts w:eastAsia="Times New Roman"/>
                <w:color w:val="000000"/>
                <w:szCs w:val="24"/>
              </w:rPr>
              <w:t xml:space="preserve">uređuje se utvrđivanje najviše dozvoljene cijene lijeka  za lijek koji može biti u prometu u Republici Hrvatskoj sukladno članku 22. stavku 1., članku 113. stavku 1. i članku 129. </w:t>
            </w:r>
            <w:r w:rsidRPr="00C52408" w:rsidDel="00E35B36">
              <w:rPr>
                <w:rFonts w:eastAsia="Times New Roman"/>
                <w:color w:val="000000"/>
                <w:szCs w:val="24"/>
              </w:rPr>
              <w:t xml:space="preserve"> </w:t>
            </w:r>
            <w:r w:rsidRPr="00C52408">
              <w:rPr>
                <w:rFonts w:eastAsia="Times New Roman"/>
                <w:color w:val="000000"/>
                <w:szCs w:val="24"/>
              </w:rPr>
              <w:t>Zakona  o lijekovima</w:t>
            </w:r>
            <w:r>
              <w:rPr>
                <w:rFonts w:eastAsia="Times New Roman"/>
                <w:color w:val="000000"/>
                <w:szCs w:val="24"/>
              </w:rPr>
              <w:t xml:space="preserve">, a </w:t>
            </w:r>
            <w:r w:rsidRPr="00C52408">
              <w:rPr>
                <w:rFonts w:eastAsia="Times New Roman"/>
                <w:color w:val="000000"/>
                <w:szCs w:val="24"/>
              </w:rPr>
              <w:t>koji se namjerava financirati iz sredstava obveznog zdravstvenog osiguranja. Normativnim rješenjem utvrdit će se nadležno tijelo, postupak i rokovi određivanja najviše dozvoljene cijene lijeka</w:t>
            </w:r>
            <w:r>
              <w:rPr>
                <w:rFonts w:eastAsia="Times New Roman"/>
                <w:color w:val="000000"/>
                <w:szCs w:val="24"/>
              </w:rPr>
              <w:t>.</w:t>
            </w:r>
            <w:r w:rsidRPr="00C52408">
              <w:rPr>
                <w:rFonts w:eastAsia="Times New Roman"/>
                <w:color w:val="000000"/>
                <w:szCs w:val="24"/>
              </w:rPr>
              <w:t xml:space="preserve"> </w:t>
            </w:r>
          </w:p>
          <w:p w:rsidR="00C52408" w:rsidRPr="00C52408" w:rsidRDefault="00C52408" w:rsidP="00C52408">
            <w:pPr>
              <w:spacing w:before="100" w:beforeAutospacing="1" w:after="100" w:afterAutospacing="1"/>
              <w:jc w:val="both"/>
              <w:rPr>
                <w:rFonts w:ascii="Times-NewRoman" w:eastAsia="Times New Roman" w:hAnsi="Times-NewRoman"/>
                <w:szCs w:val="24"/>
                <w:lang w:val="en-US"/>
              </w:rPr>
            </w:pPr>
            <w:r w:rsidRPr="00C52408">
              <w:rPr>
                <w:rFonts w:eastAsia="Times New Roman"/>
                <w:bCs/>
                <w:szCs w:val="24"/>
                <w:lang w:val="en-US"/>
              </w:rPr>
              <w:t>Utvrđuju se mogućnosti i uvjeti pod kojima cijena lijeka može biti i niža od najviše dozvoljene cijene lijeka</w:t>
            </w:r>
            <w:r>
              <w:rPr>
                <w:rFonts w:eastAsia="Times New Roman"/>
                <w:bCs/>
                <w:szCs w:val="24"/>
                <w:lang w:val="en-US"/>
              </w:rPr>
              <w:t>.</w:t>
            </w:r>
            <w:r w:rsidRPr="00C52408">
              <w:rPr>
                <w:rFonts w:eastAsia="Times New Roman"/>
                <w:bCs/>
                <w:szCs w:val="24"/>
                <w:lang w:val="en-US"/>
              </w:rPr>
              <w:t xml:space="preserve"> </w:t>
            </w:r>
          </w:p>
          <w:p w:rsidR="00C52408" w:rsidRPr="00C52408" w:rsidRDefault="00C52408" w:rsidP="00C52408">
            <w:pPr>
              <w:widowControl w:val="0"/>
              <w:tabs>
                <w:tab w:val="left" w:pos="2153"/>
              </w:tabs>
              <w:autoSpaceDE w:val="0"/>
              <w:autoSpaceDN w:val="0"/>
              <w:adjustRightInd w:val="0"/>
              <w:spacing w:after="43"/>
              <w:jc w:val="both"/>
              <w:rPr>
                <w:rFonts w:ascii="Times-NewRoman" w:eastAsia="Times New Roman" w:hAnsi="Times-NewRoman"/>
                <w:szCs w:val="24"/>
              </w:rPr>
            </w:pPr>
            <w:r w:rsidRPr="00C52408">
              <w:rPr>
                <w:rFonts w:ascii="Times-NewRoman" w:eastAsia="Times New Roman" w:hAnsi="Times-NewRoman"/>
                <w:szCs w:val="24"/>
              </w:rPr>
              <w:t xml:space="preserve">Nadalje normativnim rješenjem  uređuje se </w:t>
            </w:r>
            <w:r>
              <w:rPr>
                <w:rFonts w:ascii="Times-NewRoman" w:eastAsia="Times New Roman" w:hAnsi="Times-NewRoman"/>
                <w:szCs w:val="24"/>
              </w:rPr>
              <w:t>postupak stavljanja</w:t>
            </w:r>
            <w:r w:rsidRPr="00C52408">
              <w:rPr>
                <w:rFonts w:ascii="Times-NewRoman" w:eastAsia="Times New Roman" w:hAnsi="Times-NewRoman"/>
                <w:szCs w:val="24"/>
              </w:rPr>
              <w:t xml:space="preserve"> lijeka na listu lijekova Hrvatskog zavoda za zdravstveno osiguranje. </w:t>
            </w:r>
          </w:p>
          <w:p w:rsidR="00C52408" w:rsidRPr="0077506C" w:rsidRDefault="00C52408"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tc>
      </w:tr>
      <w:tr w:rsidR="00F96AE2" w:rsidRPr="0077506C" w:rsidTr="0077506C">
        <w:trPr>
          <w:trHeight w:val="567"/>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koja su moguća nenormativna rješenja za postizanje navedenog ishoda.</w:t>
            </w:r>
          </w:p>
        </w:tc>
        <w:tc>
          <w:tcPr>
            <w:tcW w:w="6374" w:type="dxa"/>
            <w:gridSpan w:val="6"/>
            <w:shd w:val="clear" w:color="auto" w:fill="FFFFFF" w:themeFill="background1"/>
          </w:tcPr>
          <w:p w:rsidR="00F96AE2" w:rsidRPr="0077506C" w:rsidRDefault="00F96AE2" w:rsidP="0077506C">
            <w:pPr>
              <w:shd w:val="clear" w:color="auto" w:fill="FFFFFF" w:themeFill="background1"/>
              <w:rPr>
                <w:szCs w:val="24"/>
              </w:rPr>
            </w:pPr>
            <w:r w:rsidRPr="0077506C">
              <w:rPr>
                <w:szCs w:val="24"/>
              </w:rPr>
              <w:t>Moguća nenormativna rješenja (ne poduzimati normativnu inicijativu, informacije i kampanje, ekonomski instrumenti, samoregulacija, koregulacija i slično):</w:t>
            </w:r>
          </w:p>
          <w:p w:rsidR="00F96AE2" w:rsidRPr="0077506C" w:rsidRDefault="00C52408" w:rsidP="0077506C">
            <w:pPr>
              <w:shd w:val="clear" w:color="auto" w:fill="FFFFFF" w:themeFill="background1"/>
              <w:rPr>
                <w:szCs w:val="24"/>
              </w:rPr>
            </w:pPr>
            <w:r>
              <w:rPr>
                <w:szCs w:val="24"/>
              </w:rPr>
              <w:t>Ne poduzimati normativnu inicijativu</w:t>
            </w:r>
          </w:p>
        </w:tc>
      </w:tr>
      <w:tr w:rsidR="00F96AE2" w:rsidRPr="0077506C" w:rsidTr="0077506C">
        <w:trPr>
          <w:trHeight w:val="567"/>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w:t>
            </w:r>
          </w:p>
          <w:p w:rsidR="00C52408" w:rsidRPr="0077506C" w:rsidRDefault="003F3E77" w:rsidP="003F3E77">
            <w:pPr>
              <w:shd w:val="clear" w:color="auto" w:fill="FFFFFF" w:themeFill="background1"/>
              <w:rPr>
                <w:szCs w:val="24"/>
              </w:rPr>
            </w:pPr>
            <w:r>
              <w:rPr>
                <w:szCs w:val="24"/>
              </w:rPr>
              <w:t>Nepoduzimanjem normativne inicijative zadržava se postojeće stanje, zakonodavni okvir ostaje isti i ne može se provesti mjera određena točkom 9.2. Programa Vlade Republike Hrvatske</w:t>
            </w:r>
          </w:p>
        </w:tc>
      </w:tr>
      <w:tr w:rsidR="00F96AE2" w:rsidRPr="0077506C" w:rsidTr="0077506C">
        <w:trPr>
          <w:trHeight w:val="419"/>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IZRAVNIH UČINAKA I ADRESATA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GOSPODARSKIH UČINAKA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382"/>
        </w:trPr>
        <w:tc>
          <w:tcPr>
            <w:tcW w:w="993" w:type="dxa"/>
            <w:vMerge w:val="restart"/>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382"/>
        </w:trPr>
        <w:tc>
          <w:tcPr>
            <w:tcW w:w="993" w:type="dxa"/>
            <w:vMerge/>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Da</w:t>
            </w:r>
          </w:p>
        </w:tc>
        <w:tc>
          <w:tcPr>
            <w:tcW w:w="992" w:type="dxa"/>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w:t>
            </w: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Da</w:t>
            </w:r>
          </w:p>
        </w:tc>
        <w:tc>
          <w:tcPr>
            <w:tcW w:w="992" w:type="dxa"/>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Da</w:t>
            </w:r>
          </w:p>
        </w:tc>
        <w:tc>
          <w:tcPr>
            <w:tcW w:w="992" w:type="dxa"/>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5.1.5.</w:t>
            </w: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3F3E77" w:rsidP="0077506C">
            <w:pPr>
              <w:shd w:val="clear" w:color="auto" w:fill="FFFFFF" w:themeFill="background1"/>
              <w:rPr>
                <w:b/>
                <w:szCs w:val="24"/>
              </w:rPr>
            </w:pPr>
            <w:r>
              <w:rPr>
                <w:b/>
                <w:szCs w:val="24"/>
              </w:rPr>
              <w:t>Da</w:t>
            </w:r>
          </w:p>
        </w:tc>
        <w:tc>
          <w:tcPr>
            <w:tcW w:w="992"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Da</w:t>
            </w:r>
          </w:p>
        </w:tc>
        <w:tc>
          <w:tcPr>
            <w:tcW w:w="992" w:type="dxa"/>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Da</w:t>
            </w:r>
          </w:p>
        </w:tc>
        <w:tc>
          <w:tcPr>
            <w:tcW w:w="992" w:type="dxa"/>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Prepreke za slobodno kretanje roba, usluga, rada i </w:t>
            </w:r>
            <w:r w:rsidRPr="0077506C">
              <w:rPr>
                <w:szCs w:val="24"/>
              </w:rPr>
              <w:lastRenderedPageBreak/>
              <w:t>kapitala vezano za poslovanje gospodarskih subjekata</w:t>
            </w:r>
          </w:p>
        </w:tc>
        <w:tc>
          <w:tcPr>
            <w:tcW w:w="1276"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lastRenderedPageBreak/>
              <w:t>Ne</w:t>
            </w:r>
          </w:p>
        </w:tc>
        <w:tc>
          <w:tcPr>
            <w:tcW w:w="992" w:type="dxa"/>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3F3E7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5.1.13.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F96AE2" w:rsidRPr="0077506C" w:rsidRDefault="00304D17"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304D17"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304D17" w:rsidP="0077506C">
            <w:pPr>
              <w:shd w:val="clear" w:color="auto" w:fill="FFFFFF" w:themeFill="background1"/>
              <w:rPr>
                <w:b/>
                <w:szCs w:val="24"/>
              </w:rPr>
            </w:pPr>
            <w:r>
              <w:rPr>
                <w:b/>
                <w:szCs w:val="24"/>
              </w:rPr>
              <w:t>Ne</w:t>
            </w:r>
          </w:p>
        </w:tc>
      </w:tr>
      <w:tr w:rsidR="00304D17" w:rsidRPr="0077506C" w:rsidTr="0077506C">
        <w:trPr>
          <w:trHeight w:val="284"/>
        </w:trPr>
        <w:tc>
          <w:tcPr>
            <w:tcW w:w="993" w:type="dxa"/>
            <w:shd w:val="clear" w:color="auto" w:fill="FFFFFF" w:themeFill="background1"/>
          </w:tcPr>
          <w:p w:rsidR="00304D17" w:rsidRPr="0077506C" w:rsidRDefault="00304D17" w:rsidP="00304D17">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304D17" w:rsidRPr="0077506C" w:rsidRDefault="00304D17" w:rsidP="00304D17">
            <w:pPr>
              <w:shd w:val="clear" w:color="auto" w:fill="FFFFFF" w:themeFill="background1"/>
              <w:rPr>
                <w:szCs w:val="24"/>
              </w:rPr>
            </w:pPr>
            <w:r w:rsidRPr="0077506C">
              <w:rPr>
                <w:szCs w:val="24"/>
              </w:rPr>
              <w:t>Drugi očekivani izravni učinak:</w:t>
            </w:r>
          </w:p>
          <w:p w:rsidR="00304D17" w:rsidRPr="0077506C" w:rsidRDefault="00304D17" w:rsidP="00304D17">
            <w:pPr>
              <w:shd w:val="clear" w:color="auto" w:fill="FFFFFF" w:themeFill="background1"/>
              <w:rPr>
                <w:szCs w:val="24"/>
              </w:rPr>
            </w:pPr>
          </w:p>
        </w:tc>
        <w:tc>
          <w:tcPr>
            <w:tcW w:w="1276" w:type="dxa"/>
            <w:gridSpan w:val="2"/>
            <w:shd w:val="clear" w:color="auto" w:fill="FFFFFF" w:themeFill="background1"/>
          </w:tcPr>
          <w:p w:rsidR="00304D17" w:rsidRDefault="00304D17" w:rsidP="00304D17">
            <w:r w:rsidRPr="00B72665">
              <w:rPr>
                <w:b/>
                <w:szCs w:val="24"/>
              </w:rPr>
              <w:t>Ne</w:t>
            </w:r>
          </w:p>
        </w:tc>
        <w:tc>
          <w:tcPr>
            <w:tcW w:w="992" w:type="dxa"/>
            <w:shd w:val="clear" w:color="auto" w:fill="FFFFFF" w:themeFill="background1"/>
          </w:tcPr>
          <w:p w:rsidR="00304D17" w:rsidRDefault="00304D17" w:rsidP="00304D17">
            <w:r w:rsidRPr="00B72665">
              <w:rPr>
                <w:b/>
                <w:szCs w:val="24"/>
              </w:rPr>
              <w:t>Ne</w:t>
            </w:r>
          </w:p>
        </w:tc>
        <w:tc>
          <w:tcPr>
            <w:tcW w:w="992" w:type="dxa"/>
            <w:gridSpan w:val="2"/>
            <w:shd w:val="clear" w:color="auto" w:fill="FFFFFF" w:themeFill="background1"/>
          </w:tcPr>
          <w:p w:rsidR="00304D17" w:rsidRDefault="00304D17" w:rsidP="00304D17">
            <w:r w:rsidRPr="00B7266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izravnih učinaka od 5.1.1. do 5.1.14.</w:t>
            </w:r>
          </w:p>
          <w:p w:rsidR="00F96AE2" w:rsidRPr="0077506C" w:rsidRDefault="00093FA5" w:rsidP="00093FA5">
            <w:pPr>
              <w:shd w:val="clear" w:color="auto" w:fill="FFFFFF" w:themeFill="background1"/>
              <w:rPr>
                <w:b/>
                <w:szCs w:val="24"/>
              </w:rPr>
            </w:pPr>
            <w:r w:rsidRPr="00093FA5">
              <w:rPr>
                <w:b/>
                <w:szCs w:val="24"/>
              </w:rPr>
              <w:t xml:space="preserve">Predloženo normativno rješenje </w:t>
            </w:r>
            <w:r>
              <w:rPr>
                <w:b/>
                <w:szCs w:val="24"/>
              </w:rPr>
              <w:t xml:space="preserve">ima </w:t>
            </w:r>
            <w:r w:rsidRPr="00093FA5">
              <w:rPr>
                <w:b/>
                <w:szCs w:val="24"/>
              </w:rPr>
              <w:t>neznatn</w:t>
            </w:r>
            <w:r>
              <w:rPr>
                <w:b/>
                <w:szCs w:val="24"/>
              </w:rPr>
              <w:t>e neizravne</w:t>
            </w:r>
            <w:r w:rsidRPr="00093FA5">
              <w:rPr>
                <w:b/>
                <w:szCs w:val="24"/>
              </w:rPr>
              <w:t xml:space="preserve"> </w:t>
            </w:r>
            <w:r>
              <w:rPr>
                <w:b/>
                <w:szCs w:val="24"/>
              </w:rPr>
              <w:t xml:space="preserve">gospodarske učinke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F96AE2" w:rsidRPr="0077506C" w:rsidRDefault="00304D17" w:rsidP="0077506C">
            <w:pPr>
              <w:shd w:val="clear" w:color="auto" w:fill="FFFFFF" w:themeFill="background1"/>
              <w:rPr>
                <w:b/>
                <w:szCs w:val="24"/>
              </w:rPr>
            </w:pPr>
            <w:r w:rsidRPr="00B72665">
              <w:rPr>
                <w:b/>
                <w:szCs w:val="24"/>
              </w:rPr>
              <w:t>Ne</w:t>
            </w:r>
          </w:p>
        </w:tc>
        <w:tc>
          <w:tcPr>
            <w:tcW w:w="1028" w:type="dxa"/>
            <w:gridSpan w:val="2"/>
            <w:shd w:val="clear" w:color="auto" w:fill="FFFFFF" w:themeFill="background1"/>
          </w:tcPr>
          <w:p w:rsidR="00F96AE2" w:rsidRPr="0077506C" w:rsidRDefault="00304D17" w:rsidP="0077506C">
            <w:pPr>
              <w:shd w:val="clear" w:color="auto" w:fill="FFFFFF" w:themeFill="background1"/>
              <w:rPr>
                <w:b/>
                <w:szCs w:val="24"/>
              </w:rPr>
            </w:pPr>
            <w:r w:rsidRPr="00B72665">
              <w:rPr>
                <w:b/>
                <w:szCs w:val="24"/>
              </w:rPr>
              <w:t>Ne</w:t>
            </w:r>
          </w:p>
        </w:tc>
        <w:tc>
          <w:tcPr>
            <w:tcW w:w="956" w:type="dxa"/>
            <w:shd w:val="clear" w:color="auto" w:fill="FFFFFF" w:themeFill="background1"/>
          </w:tcPr>
          <w:p w:rsidR="00F96AE2" w:rsidRPr="0077506C" w:rsidRDefault="00304D17" w:rsidP="0077506C">
            <w:pPr>
              <w:shd w:val="clear" w:color="auto" w:fill="FFFFFF" w:themeFill="background1"/>
              <w:rPr>
                <w:b/>
                <w:szCs w:val="24"/>
              </w:rPr>
            </w:pPr>
            <w:r w:rsidRPr="00B7266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F96AE2" w:rsidRPr="0077506C" w:rsidRDefault="00304D17" w:rsidP="0077506C">
            <w:pPr>
              <w:shd w:val="clear" w:color="auto" w:fill="FFFFFF" w:themeFill="background1"/>
              <w:rPr>
                <w:b/>
                <w:szCs w:val="24"/>
              </w:rPr>
            </w:pPr>
            <w:r>
              <w:rPr>
                <w:b/>
                <w:szCs w:val="24"/>
              </w:rPr>
              <w:t>Da</w:t>
            </w:r>
          </w:p>
        </w:tc>
        <w:tc>
          <w:tcPr>
            <w:tcW w:w="1028" w:type="dxa"/>
            <w:gridSpan w:val="2"/>
            <w:shd w:val="clear" w:color="auto" w:fill="FFFFFF" w:themeFill="background1"/>
          </w:tcPr>
          <w:p w:rsidR="00F96AE2" w:rsidRPr="0077506C" w:rsidRDefault="00304D17"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304D1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F96AE2" w:rsidRPr="0077506C" w:rsidRDefault="00304D17" w:rsidP="0077506C">
            <w:pPr>
              <w:shd w:val="clear" w:color="auto" w:fill="FFFFFF" w:themeFill="background1"/>
              <w:rPr>
                <w:b/>
                <w:szCs w:val="24"/>
              </w:rPr>
            </w:pPr>
            <w:r>
              <w:rPr>
                <w:b/>
                <w:szCs w:val="24"/>
              </w:rPr>
              <w:t>Da</w:t>
            </w:r>
          </w:p>
        </w:tc>
        <w:tc>
          <w:tcPr>
            <w:tcW w:w="1028" w:type="dxa"/>
            <w:gridSpan w:val="2"/>
            <w:shd w:val="clear" w:color="auto" w:fill="FFFFFF" w:themeFill="background1"/>
          </w:tcPr>
          <w:p w:rsidR="00F96AE2" w:rsidRPr="0077506C" w:rsidRDefault="00304D17"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304D1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F96AE2" w:rsidRPr="0077506C" w:rsidRDefault="00304D17" w:rsidP="0077506C">
            <w:pPr>
              <w:shd w:val="clear" w:color="auto" w:fill="FFFFFF" w:themeFill="background1"/>
              <w:rPr>
                <w:b/>
                <w:szCs w:val="24"/>
              </w:rPr>
            </w:pPr>
            <w:r>
              <w:rPr>
                <w:b/>
                <w:szCs w:val="24"/>
              </w:rPr>
              <w:t>Da</w:t>
            </w:r>
          </w:p>
        </w:tc>
        <w:tc>
          <w:tcPr>
            <w:tcW w:w="1028" w:type="dxa"/>
            <w:gridSpan w:val="2"/>
            <w:shd w:val="clear" w:color="auto" w:fill="FFFFFF" w:themeFill="background1"/>
          </w:tcPr>
          <w:p w:rsidR="00F96AE2" w:rsidRPr="0077506C" w:rsidRDefault="00304D17"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304D1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Da</w:t>
            </w:r>
          </w:p>
        </w:tc>
        <w:tc>
          <w:tcPr>
            <w:tcW w:w="1028"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Da</w:t>
            </w:r>
          </w:p>
        </w:tc>
        <w:tc>
          <w:tcPr>
            <w:tcW w:w="1028"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Da</w:t>
            </w:r>
          </w:p>
        </w:tc>
        <w:tc>
          <w:tcPr>
            <w:tcW w:w="1028"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Da</w:t>
            </w:r>
          </w:p>
        </w:tc>
        <w:tc>
          <w:tcPr>
            <w:tcW w:w="1028"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Da</w:t>
            </w:r>
          </w:p>
        </w:tc>
        <w:tc>
          <w:tcPr>
            <w:tcW w:w="1028"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5.1.16. do 5.1.26.:</w:t>
            </w:r>
          </w:p>
          <w:p w:rsidR="00F96AE2" w:rsidRPr="00C5546F" w:rsidRDefault="00C5546F" w:rsidP="00C5546F">
            <w:pPr>
              <w:shd w:val="clear" w:color="auto" w:fill="FFFFFF" w:themeFill="background1"/>
              <w:jc w:val="both"/>
              <w:rPr>
                <w:szCs w:val="24"/>
              </w:rPr>
            </w:pPr>
            <w:r w:rsidRPr="00C5546F">
              <w:rPr>
                <w:szCs w:val="24"/>
              </w:rPr>
              <w:t>Adresati su</w:t>
            </w:r>
            <w:r>
              <w:rPr>
                <w:szCs w:val="24"/>
              </w:rPr>
              <w:t>:</w:t>
            </w:r>
            <w:r w:rsidRPr="00C5546F">
              <w:rPr>
                <w:szCs w:val="24"/>
              </w:rPr>
              <w:t xml:space="preserve"> </w:t>
            </w:r>
            <w:r w:rsidRPr="00C5546F">
              <w:rPr>
                <w:rFonts w:eastAsia="Times New Roman"/>
                <w:color w:val="000000"/>
                <w:szCs w:val="24"/>
              </w:rPr>
              <w:t>Hrvatski zavod za zdravstveno osiguranje kao nadležno tijelo za postupak utvrđivanja cijene lijeka koju je Zavod spreman plaćati nositelju odobrenja za stavljanje lijeka u promet iz sredstava obveznog zdravstvenog osiguranja, Agencija za lijekove i medicinske proizvode kao nadležno tijelo za utvrđivanje najviše dozvoljene cijene lijeka i</w:t>
            </w:r>
            <w:r w:rsidR="006327FC">
              <w:rPr>
                <w:rFonts w:eastAsia="Times New Roman"/>
                <w:color w:val="000000"/>
                <w:szCs w:val="24"/>
              </w:rPr>
              <w:t xml:space="preserve"> </w:t>
            </w:r>
            <w:r w:rsidRPr="00C5546F">
              <w:rPr>
                <w:rFonts w:eastAsia="Times New Roman"/>
                <w:color w:val="000000"/>
                <w:szCs w:val="24"/>
              </w:rPr>
              <w:t>nositelji odobrenja za stavljanje lijeka u promet te veleprodaje.</w:t>
            </w:r>
          </w:p>
        </w:tc>
      </w:tr>
      <w:tr w:rsidR="00F96AE2" w:rsidRPr="0077506C" w:rsidTr="0077506C">
        <w:trPr>
          <w:trHeight w:val="299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5.1.28.</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GOSPODARSKIH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TRŽIŠNO NATJECANJE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5.2.1.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5.2.2.</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5.2.4.</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F96AE2" w:rsidRPr="0077506C" w:rsidRDefault="00F96AE2" w:rsidP="0077506C">
            <w:pPr>
              <w:shd w:val="clear" w:color="auto" w:fill="FFFFFF" w:themeFill="background1"/>
              <w:jc w:val="both"/>
              <w:rPr>
                <w:szCs w:val="24"/>
              </w:rPr>
            </w:pPr>
          </w:p>
        </w:tc>
        <w:tc>
          <w:tcPr>
            <w:tcW w:w="1276"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C5546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5.2.5.</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izravnih učinaka od 5.2.1. do 5.2.4.:</w:t>
            </w:r>
          </w:p>
          <w:p w:rsidR="00F96AE2" w:rsidRPr="006327FC" w:rsidRDefault="006327FC" w:rsidP="006327FC">
            <w:pPr>
              <w:shd w:val="clear" w:color="auto" w:fill="FFFFFF" w:themeFill="background1"/>
              <w:rPr>
                <w:szCs w:val="24"/>
              </w:rPr>
            </w:pPr>
            <w:r w:rsidRPr="006327FC">
              <w:rPr>
                <w:szCs w:val="24"/>
              </w:rPr>
              <w:t xml:space="preserve">Predloženim normativnim rješenjem utvrđuju se istovjetni uvjeti za sve podnositelje zahtjeva za određivanje cijena lijekova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Da</w:t>
            </w:r>
          </w:p>
        </w:tc>
        <w:tc>
          <w:tcPr>
            <w:tcW w:w="992"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F96AE2" w:rsidRPr="0077506C" w:rsidRDefault="006327FC" w:rsidP="006327F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Da</w:t>
            </w:r>
          </w:p>
        </w:tc>
        <w:tc>
          <w:tcPr>
            <w:tcW w:w="992"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Da</w:t>
            </w:r>
          </w:p>
        </w:tc>
        <w:tc>
          <w:tcPr>
            <w:tcW w:w="992"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5.2.6. do 5.2.16.:</w:t>
            </w:r>
          </w:p>
          <w:p w:rsidR="00F96AE2" w:rsidRPr="0077506C" w:rsidRDefault="006327FC" w:rsidP="006327FC">
            <w:pPr>
              <w:shd w:val="clear" w:color="auto" w:fill="FFFFFF" w:themeFill="background1"/>
              <w:jc w:val="both"/>
              <w:rPr>
                <w:b/>
                <w:szCs w:val="24"/>
              </w:rPr>
            </w:pPr>
            <w:r w:rsidRPr="00C5546F">
              <w:rPr>
                <w:szCs w:val="24"/>
              </w:rPr>
              <w:t>Adresati su</w:t>
            </w:r>
            <w:r>
              <w:rPr>
                <w:szCs w:val="24"/>
              </w:rPr>
              <w:t>:</w:t>
            </w:r>
            <w:r w:rsidRPr="00C5546F">
              <w:rPr>
                <w:szCs w:val="24"/>
              </w:rPr>
              <w:t xml:space="preserve"> </w:t>
            </w:r>
            <w:r w:rsidRPr="00C5546F">
              <w:rPr>
                <w:rFonts w:eastAsia="Times New Roman"/>
                <w:color w:val="000000"/>
                <w:szCs w:val="24"/>
              </w:rPr>
              <w:t>Hrvatski zavod za zdravstveno osiguranje kao nadležno tijelo za postupak utvrđivanja cijene lijeka koju je Zavod spreman plaćati nositelju odobrenja za stavljanje lijeka u promet iz sredstava obveznog zdravstvenog osiguranja, Agencija za lijekove i medicinske proizvode kao nadležno tijelo za utvrđivanje najviše dozvoljene cijene lijeka i</w:t>
            </w:r>
            <w:r>
              <w:rPr>
                <w:rFonts w:eastAsia="Times New Roman"/>
                <w:color w:val="000000"/>
                <w:szCs w:val="24"/>
              </w:rPr>
              <w:t xml:space="preserve"> </w:t>
            </w:r>
            <w:r w:rsidRPr="00C5546F">
              <w:rPr>
                <w:rFonts w:eastAsia="Times New Roman"/>
                <w:color w:val="000000"/>
                <w:szCs w:val="24"/>
              </w:rPr>
              <w:t>nositelji odobrenja za stavljanje lijeka u promet te veleprodaje.</w:t>
            </w:r>
          </w:p>
        </w:tc>
      </w:tr>
      <w:tr w:rsidR="00F96AE2" w:rsidRPr="0077506C" w:rsidTr="0077506C">
        <w:trPr>
          <w:trHeight w:val="356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5.2.17.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TRŽIŠNOG NATJECANJA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SOCIJALNIH UČINAKA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F96AE2" w:rsidRPr="0077506C" w:rsidRDefault="00ED6995"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ED6995"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5.3.7.</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6327F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5.3.8.</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izravnih učinaka od 5.3.1. do 5.3.7.:</w:t>
            </w:r>
          </w:p>
          <w:p w:rsidR="00F96AE2" w:rsidRPr="0077506C" w:rsidRDefault="00ED6995" w:rsidP="00ED6995">
            <w:pPr>
              <w:shd w:val="clear" w:color="auto" w:fill="FFFFFF" w:themeFill="background1"/>
              <w:rPr>
                <w:szCs w:val="24"/>
              </w:rPr>
            </w:pPr>
            <w:r w:rsidRPr="00ED6995">
              <w:rPr>
                <w:b/>
                <w:szCs w:val="24"/>
              </w:rPr>
              <w:t xml:space="preserve">Predloženo normativno rješenje nema </w:t>
            </w:r>
            <w:r>
              <w:rPr>
                <w:b/>
                <w:szCs w:val="24"/>
              </w:rPr>
              <w:t xml:space="preserve">utjecaja na </w:t>
            </w:r>
            <w:r w:rsidRPr="00ED6995">
              <w:rPr>
                <w:b/>
                <w:szCs w:val="24"/>
              </w:rPr>
              <w:t>socijalne</w:t>
            </w:r>
            <w:r>
              <w:rPr>
                <w:b/>
                <w:szCs w:val="24"/>
              </w:rPr>
              <w:t xml:space="preserve"> </w:t>
            </w:r>
            <w:r w:rsidRPr="00ED6995">
              <w:rPr>
                <w:b/>
                <w:szCs w:val="24"/>
              </w:rPr>
              <w:t>učinke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F96AE2" w:rsidRPr="0077506C" w:rsidRDefault="00ED6995"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F96AE2" w:rsidRPr="0077506C" w:rsidRDefault="00ED6995"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F96AE2" w:rsidRPr="0077506C" w:rsidRDefault="00ED6995"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F96AE2" w:rsidRPr="0077506C" w:rsidRDefault="00ED6995"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Središnja tijela državne uprave, druga državna tijela, pravosudna tijela, javne ustanove, jedinice lokalne i područne (regionalne) samouprave, pravne osobe s </w:t>
            </w:r>
            <w:r w:rsidRPr="0077506C">
              <w:rPr>
                <w:szCs w:val="24"/>
              </w:rPr>
              <w:lastRenderedPageBreak/>
              <w:t>javnim ovlastima</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lastRenderedPageBreak/>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5.3.18.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5.3.9. do 5.3.19.:</w:t>
            </w:r>
          </w:p>
          <w:p w:rsidR="00F96AE2" w:rsidRPr="0077506C" w:rsidRDefault="001B0A78" w:rsidP="00ED6995">
            <w:pPr>
              <w:shd w:val="clear" w:color="auto" w:fill="FFFFFF" w:themeFill="background1"/>
              <w:rPr>
                <w:b/>
                <w:szCs w:val="24"/>
              </w:rPr>
            </w:pPr>
            <w:r>
              <w:rPr>
                <w:b/>
                <w:szCs w:val="24"/>
              </w:rPr>
              <w:t xml:space="preserve">Predloženo normativno rješenje </w:t>
            </w:r>
            <w:r w:rsidR="00ED6995">
              <w:rPr>
                <w:b/>
                <w:szCs w:val="24"/>
              </w:rPr>
              <w:t>ne</w:t>
            </w:r>
            <w:r>
              <w:rPr>
                <w:b/>
                <w:szCs w:val="24"/>
              </w:rPr>
              <w:t xml:space="preserve"> odražava </w:t>
            </w:r>
            <w:r w:rsidR="00ED6995">
              <w:rPr>
                <w:b/>
                <w:szCs w:val="24"/>
              </w:rPr>
              <w:t xml:space="preserve">se </w:t>
            </w:r>
            <w:r>
              <w:rPr>
                <w:b/>
                <w:szCs w:val="24"/>
              </w:rPr>
              <w:t>na status socijalnih prava građana</w:t>
            </w:r>
          </w:p>
        </w:tc>
      </w:tr>
      <w:tr w:rsidR="00F96AE2" w:rsidRPr="0077506C" w:rsidTr="0077506C">
        <w:trPr>
          <w:trHeight w:val="3401"/>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5.3.21.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SOCIJALNIH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RAD I TRŽIŠTE RADA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F96AE2" w:rsidRPr="0077506C" w:rsidRDefault="001B0A78" w:rsidP="001B0A78">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F96AE2" w:rsidRPr="0077506C" w:rsidRDefault="00F96AE2" w:rsidP="0077506C">
            <w:pPr>
              <w:shd w:val="clear" w:color="auto" w:fill="FFFFFF" w:themeFill="background1"/>
              <w:rPr>
                <w:rFonts w:eastAsia="Times New Roman"/>
                <w:iCs/>
                <w:szCs w:val="24"/>
              </w:rPr>
            </w:pP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izravnih učinaka od 5.4.1 do 5.4.13:</w:t>
            </w:r>
          </w:p>
          <w:p w:rsidR="00F96AE2" w:rsidRPr="0077506C" w:rsidRDefault="002603F1" w:rsidP="002603F1">
            <w:pPr>
              <w:shd w:val="clear" w:color="auto" w:fill="FFFFFF" w:themeFill="background1"/>
              <w:rPr>
                <w:b/>
                <w:szCs w:val="24"/>
              </w:rPr>
            </w:pPr>
            <w:r>
              <w:rPr>
                <w:b/>
                <w:szCs w:val="24"/>
              </w:rPr>
              <w:t>Predloženo normativno rješenje nema nikakvog utjecaja na rad i tržište rada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Mikro i mali poduzetnici i/ili obiteljska poljoprivredna </w:t>
            </w:r>
            <w:r w:rsidRPr="0077506C">
              <w:rPr>
                <w:szCs w:val="24"/>
              </w:rPr>
              <w:lastRenderedPageBreak/>
              <w:t>gospodarstva i/ili zadruge</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lastRenderedPageBreak/>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5.4.16.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 xml:space="preserve">Ne </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1B0A78"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5.4.14. do 5.4.25.</w:t>
            </w:r>
          </w:p>
          <w:p w:rsidR="00F96AE2" w:rsidRPr="0077506C" w:rsidRDefault="002603F1" w:rsidP="0077506C">
            <w:pPr>
              <w:shd w:val="clear" w:color="auto" w:fill="FFFFFF" w:themeFill="background1"/>
              <w:rPr>
                <w:b/>
                <w:szCs w:val="24"/>
              </w:rPr>
            </w:pPr>
            <w:r>
              <w:rPr>
                <w:b/>
                <w:szCs w:val="24"/>
              </w:rPr>
              <w:t>Predloženo normativno rješenje nema nikakvog utjecaja na rad i tržište rada</w:t>
            </w:r>
          </w:p>
        </w:tc>
      </w:tr>
      <w:tr w:rsidR="00F96AE2" w:rsidRPr="0077506C" w:rsidTr="0077506C">
        <w:trPr>
          <w:trHeight w:val="3436"/>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RAD I TRŽIŠTE RADA: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OKOLIŠA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Bioraznolikost biljnog i životinjskog svijeta</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lastRenderedPageBreak/>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5.5.11.</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izravnih učinaka od 5.5.1. do 5.5.10.:</w:t>
            </w:r>
          </w:p>
          <w:p w:rsidR="00F96AE2" w:rsidRPr="0077506C" w:rsidRDefault="002603F1" w:rsidP="002603F1">
            <w:pPr>
              <w:shd w:val="clear" w:color="auto" w:fill="FFFFFF" w:themeFill="background1"/>
              <w:rPr>
                <w:b/>
                <w:szCs w:val="24"/>
              </w:rPr>
            </w:pPr>
            <w:r>
              <w:rPr>
                <w:b/>
                <w:szCs w:val="24"/>
              </w:rPr>
              <w:t>Predloženo normativno rješenje nema nikakvog utjecaja na zaštitu okoliša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5.5.12. do 5.5.22.</w:t>
            </w:r>
          </w:p>
          <w:p w:rsidR="00F96AE2" w:rsidRPr="0077506C" w:rsidRDefault="002603F1" w:rsidP="002603F1">
            <w:pPr>
              <w:shd w:val="clear" w:color="auto" w:fill="FFFFFF" w:themeFill="background1"/>
              <w:rPr>
                <w:b/>
                <w:szCs w:val="24"/>
              </w:rPr>
            </w:pPr>
            <w:r>
              <w:rPr>
                <w:b/>
                <w:szCs w:val="24"/>
              </w:rPr>
              <w:t>Predloženo normativno rješenje nema nikakvog utjecaja na zaštitu okoliša</w:t>
            </w:r>
          </w:p>
        </w:tc>
      </w:tr>
      <w:tr w:rsidR="00F96AE2" w:rsidRPr="0077506C" w:rsidTr="0077506C">
        <w:trPr>
          <w:trHeight w:val="341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OKOLIŠA: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LJUDSKIH PRAVA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F96AE2" w:rsidRPr="0077506C" w:rsidTr="0077506C">
        <w:trPr>
          <w:trHeight w:val="943"/>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701"/>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5.6.3.</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5.6.4.</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5.6.5.</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5.6.6.</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5.6.7.</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5.6.8.</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5.6.9.</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2603F1"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izravnih učinaka od 5.6.1. do 5.6.9.:</w:t>
            </w:r>
          </w:p>
          <w:p w:rsidR="00F96AE2" w:rsidRPr="0077506C" w:rsidRDefault="00B4289C" w:rsidP="00B4289C">
            <w:pPr>
              <w:shd w:val="clear" w:color="auto" w:fill="FFFFFF" w:themeFill="background1"/>
              <w:rPr>
                <w:b/>
                <w:szCs w:val="24"/>
              </w:rPr>
            </w:pPr>
            <w:r>
              <w:rPr>
                <w:b/>
                <w:szCs w:val="24"/>
              </w:rPr>
              <w:t>Predloženo normativno rješenje nema nikakvog utjecaja na ljudska prava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F96AE2" w:rsidRPr="0077506C" w:rsidRDefault="00F96AE2" w:rsidP="00ED699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B4289C"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5.6.12. do 5.6.23.</w:t>
            </w:r>
          </w:p>
          <w:p w:rsidR="00F96AE2" w:rsidRPr="0077506C" w:rsidRDefault="00B4289C" w:rsidP="0077506C">
            <w:pPr>
              <w:shd w:val="clear" w:color="auto" w:fill="FFFFFF" w:themeFill="background1"/>
              <w:rPr>
                <w:b/>
                <w:szCs w:val="24"/>
              </w:rPr>
            </w:pPr>
            <w:r>
              <w:rPr>
                <w:b/>
                <w:szCs w:val="24"/>
              </w:rPr>
              <w:t>Predloženo normativno rješenje nema nikakvog utjecaja na ljudska prava</w:t>
            </w:r>
          </w:p>
        </w:tc>
      </w:tr>
      <w:tr w:rsidR="00F96AE2" w:rsidRPr="0077506C" w:rsidTr="0077506C">
        <w:trPr>
          <w:trHeight w:val="364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LJUDSKIH PRAVA: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6.</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Prethodni test malog i srednjeg poduzetništva (Prethodni MSP test)</w:t>
            </w:r>
          </w:p>
          <w:p w:rsidR="00F96AE2" w:rsidRPr="0077506C" w:rsidRDefault="00F96AE2" w:rsidP="0077506C">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DA</w:t>
            </w:r>
          </w:p>
        </w:tc>
        <w:tc>
          <w:tcPr>
            <w:tcW w:w="9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NE</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6.1.</w:t>
            </w:r>
          </w:p>
        </w:tc>
        <w:tc>
          <w:tcPr>
            <w:tcW w:w="6946" w:type="dxa"/>
            <w:gridSpan w:val="4"/>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85017D"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Obrazloženje: </w:t>
            </w:r>
          </w:p>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6.2.</w:t>
            </w:r>
          </w:p>
        </w:tc>
        <w:tc>
          <w:tcPr>
            <w:tcW w:w="6946" w:type="dxa"/>
            <w:gridSpan w:val="4"/>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3F69BF"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6.3.</w:t>
            </w: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85017D"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6.4.</w:t>
            </w: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85017D"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77506C" w:rsidRDefault="0085017D" w:rsidP="0077506C">
            <w:pPr>
              <w:shd w:val="clear" w:color="auto" w:fill="FFFFFF" w:themeFill="background1"/>
              <w:rPr>
                <w:szCs w:val="24"/>
              </w:rPr>
            </w:pPr>
            <w:r>
              <w:rPr>
                <w:szCs w:val="24"/>
              </w:rPr>
              <w:t xml:space="preserve">Podnositelji zahtjeva plaćaju samo trošak izračuna cijene lijeka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potrebe za provođenjem SCM metodologije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9" w:history="1">
              <w:r w:rsidRPr="0077506C">
                <w:rPr>
                  <w:rStyle w:val="Hiperveza"/>
                  <w:szCs w:val="24"/>
                </w:rPr>
                <w:t>http://www.mingo.hr/page/standard-cost-model</w:t>
              </w:r>
            </w:hyperlink>
          </w:p>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w:t>
            </w: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F96AE2" w:rsidRPr="0077506C" w:rsidRDefault="00F96AE2" w:rsidP="0077506C">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F96AE2" w:rsidRPr="0077506C" w:rsidRDefault="00F96AE2" w:rsidP="0077506C">
            <w:pPr>
              <w:shd w:val="clear" w:color="auto" w:fill="FFFFFF" w:themeFill="background1"/>
              <w:jc w:val="both"/>
              <w:rPr>
                <w:i/>
                <w:szCs w:val="24"/>
              </w:rPr>
            </w:pPr>
          </w:p>
          <w:p w:rsidR="00F96AE2" w:rsidRPr="0077506C" w:rsidRDefault="00F96AE2" w:rsidP="0077506C">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F96AE2" w:rsidRPr="0077506C" w:rsidRDefault="00F96AE2" w:rsidP="0077506C">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w:t>
            </w:r>
            <w:r w:rsidRPr="0077506C">
              <w:rPr>
                <w:i/>
                <w:szCs w:val="24"/>
              </w:rPr>
              <w:lastRenderedPageBreak/>
              <w:t xml:space="preserve">gospodarstvo, stručni nositelj obvezno pristupa daljnjoj procjeni učinaka </w:t>
            </w:r>
            <w:r w:rsidRPr="0077506C">
              <w:rPr>
                <w:rFonts w:eastAsia="Times New Roman"/>
                <w:i/>
                <w:szCs w:val="24"/>
              </w:rPr>
              <w:t>izradom MSP testa u okviru Iskaza o procjeni učinaka propisa.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PUP</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8.1.</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C041D3"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8.2.</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C041D3"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8.3.</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C041D3"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8.4.</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C041D3"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8.5.</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C041D3"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8.6.</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C041D3"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MSP test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8.7.</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8.8.</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C041D3"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8.9.</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C041D3"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9.</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10.</w:t>
            </w: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E266FB" w:rsidRPr="0077506C" w:rsidRDefault="00F96AE2" w:rsidP="0077506C">
            <w:pPr>
              <w:shd w:val="clear" w:color="auto" w:fill="FFFFFF" w:themeFill="background1"/>
              <w:jc w:val="both"/>
              <w:rPr>
                <w:rFonts w:eastAsia="Times New Roman"/>
                <w:szCs w:val="24"/>
              </w:rPr>
            </w:pPr>
            <w:r w:rsidRPr="0077506C">
              <w:rPr>
                <w:rFonts w:eastAsia="Times New Roman"/>
                <w:szCs w:val="24"/>
              </w:rPr>
              <w:t>Potpis:</w:t>
            </w:r>
            <w:r w:rsidR="00E266FB">
              <w:t xml:space="preserve"> </w:t>
            </w:r>
          </w:p>
          <w:p w:rsidR="00F96AE2" w:rsidRPr="0077506C" w:rsidRDefault="0077506C" w:rsidP="00004852">
            <w:pPr>
              <w:shd w:val="clear" w:color="auto" w:fill="FFFFFF" w:themeFill="background1"/>
              <w:jc w:val="both"/>
              <w:rPr>
                <w:rFonts w:eastAsia="Times New Roman"/>
                <w:szCs w:val="24"/>
              </w:rPr>
            </w:pPr>
            <w:r w:rsidRPr="0077506C">
              <w:rPr>
                <w:rFonts w:eastAsia="Times New Roman"/>
                <w:szCs w:val="24"/>
              </w:rPr>
              <w:t>Datum:</w:t>
            </w:r>
            <w:r w:rsidR="00E266FB">
              <w:rPr>
                <w:rFonts w:eastAsia="Times New Roman"/>
                <w:szCs w:val="24"/>
              </w:rPr>
              <w:t xml:space="preserve">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8930" w:type="dxa"/>
            <w:gridSpan w:val="7"/>
            <w:shd w:val="clear" w:color="auto" w:fill="FFFFFF" w:themeFill="background1"/>
          </w:tcPr>
          <w:p w:rsidR="00F96AE2" w:rsidRPr="0077506C" w:rsidRDefault="00F96AE2" w:rsidP="0077506C">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F96AE2" w:rsidRPr="0097347E"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Uputa:</w:t>
            </w:r>
          </w:p>
          <w:p w:rsidR="00F96AE2" w:rsidRPr="0077506C" w:rsidRDefault="00F96AE2" w:rsidP="0077506C">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A70780" w:rsidRDefault="00A70780" w:rsidP="0077506C">
      <w:pPr>
        <w:shd w:val="clear" w:color="auto" w:fill="FFFFFF" w:themeFill="background1"/>
      </w:pPr>
    </w:p>
    <w:sectPr w:rsidR="00A7078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7F" w:rsidRDefault="00315D7F" w:rsidP="0077506C">
      <w:r>
        <w:separator/>
      </w:r>
    </w:p>
  </w:endnote>
  <w:endnote w:type="continuationSeparator" w:id="0">
    <w:p w:rsidR="00315D7F" w:rsidRDefault="00315D7F"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062297"/>
      <w:docPartObj>
        <w:docPartGallery w:val="Page Numbers (Bottom of Page)"/>
        <w:docPartUnique/>
      </w:docPartObj>
    </w:sdtPr>
    <w:sdtEndPr/>
    <w:sdtContent>
      <w:p w:rsidR="00826147" w:rsidRDefault="00826147">
        <w:pPr>
          <w:pStyle w:val="Podnoje"/>
          <w:jc w:val="center"/>
        </w:pPr>
        <w:r>
          <w:fldChar w:fldCharType="begin"/>
        </w:r>
        <w:r>
          <w:instrText>PAGE   \* MERGEFORMAT</w:instrText>
        </w:r>
        <w:r>
          <w:fldChar w:fldCharType="separate"/>
        </w:r>
        <w:r w:rsidR="007F35EC">
          <w:rPr>
            <w:noProof/>
          </w:rPr>
          <w:t>1</w:t>
        </w:r>
        <w:r>
          <w:fldChar w:fldCharType="end"/>
        </w:r>
      </w:p>
    </w:sdtContent>
  </w:sdt>
  <w:p w:rsidR="00826147" w:rsidRDefault="0082614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7F" w:rsidRDefault="00315D7F" w:rsidP="0077506C">
      <w:r>
        <w:separator/>
      </w:r>
    </w:p>
  </w:footnote>
  <w:footnote w:type="continuationSeparator" w:id="0">
    <w:p w:rsidR="00315D7F" w:rsidRDefault="00315D7F" w:rsidP="00775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4970949"/>
    <w:multiLevelType w:val="hybridMultilevel"/>
    <w:tmpl w:val="DE6C613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5">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3">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5"/>
  </w:num>
  <w:num w:numId="3">
    <w:abstractNumId w:val="36"/>
  </w:num>
  <w:num w:numId="4">
    <w:abstractNumId w:val="4"/>
  </w:num>
  <w:num w:numId="5">
    <w:abstractNumId w:val="17"/>
  </w:num>
  <w:num w:numId="6">
    <w:abstractNumId w:val="14"/>
  </w:num>
  <w:num w:numId="7">
    <w:abstractNumId w:val="13"/>
  </w:num>
  <w:num w:numId="8">
    <w:abstractNumId w:val="26"/>
  </w:num>
  <w:num w:numId="9">
    <w:abstractNumId w:val="31"/>
  </w:num>
  <w:num w:numId="10">
    <w:abstractNumId w:val="28"/>
  </w:num>
  <w:num w:numId="11">
    <w:abstractNumId w:val="29"/>
  </w:num>
  <w:num w:numId="12">
    <w:abstractNumId w:val="25"/>
  </w:num>
  <w:num w:numId="13">
    <w:abstractNumId w:val="1"/>
  </w:num>
  <w:num w:numId="14">
    <w:abstractNumId w:val="12"/>
  </w:num>
  <w:num w:numId="15">
    <w:abstractNumId w:val="21"/>
  </w:num>
  <w:num w:numId="16">
    <w:abstractNumId w:val="9"/>
  </w:num>
  <w:num w:numId="17">
    <w:abstractNumId w:val="10"/>
  </w:num>
  <w:num w:numId="18">
    <w:abstractNumId w:val="40"/>
  </w:num>
  <w:num w:numId="19">
    <w:abstractNumId w:val="11"/>
  </w:num>
  <w:num w:numId="20">
    <w:abstractNumId w:val="32"/>
  </w:num>
  <w:num w:numId="21">
    <w:abstractNumId w:val="43"/>
  </w:num>
  <w:num w:numId="22">
    <w:abstractNumId w:val="38"/>
  </w:num>
  <w:num w:numId="23">
    <w:abstractNumId w:val="6"/>
  </w:num>
  <w:num w:numId="24">
    <w:abstractNumId w:val="18"/>
  </w:num>
  <w:num w:numId="25">
    <w:abstractNumId w:val="33"/>
  </w:num>
  <w:num w:numId="26">
    <w:abstractNumId w:val="37"/>
  </w:num>
  <w:num w:numId="27">
    <w:abstractNumId w:val="34"/>
  </w:num>
  <w:num w:numId="28">
    <w:abstractNumId w:val="35"/>
  </w:num>
  <w:num w:numId="29">
    <w:abstractNumId w:val="27"/>
  </w:num>
  <w:num w:numId="30">
    <w:abstractNumId w:val="22"/>
  </w:num>
  <w:num w:numId="31">
    <w:abstractNumId w:val="30"/>
  </w:num>
  <w:num w:numId="32">
    <w:abstractNumId w:val="8"/>
  </w:num>
  <w:num w:numId="33">
    <w:abstractNumId w:val="24"/>
  </w:num>
  <w:num w:numId="34">
    <w:abstractNumId w:val="15"/>
  </w:num>
  <w:num w:numId="35">
    <w:abstractNumId w:val="20"/>
  </w:num>
  <w:num w:numId="36">
    <w:abstractNumId w:val="0"/>
  </w:num>
  <w:num w:numId="37">
    <w:abstractNumId w:val="23"/>
  </w:num>
  <w:num w:numId="38">
    <w:abstractNumId w:val="2"/>
  </w:num>
  <w:num w:numId="39">
    <w:abstractNumId w:val="19"/>
  </w:num>
  <w:num w:numId="40">
    <w:abstractNumId w:val="16"/>
  </w:num>
  <w:num w:numId="41">
    <w:abstractNumId w:val="42"/>
  </w:num>
  <w:num w:numId="42">
    <w:abstractNumId w:val="41"/>
  </w:num>
  <w:num w:numId="43">
    <w:abstractNumId w:val="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E2"/>
    <w:rsid w:val="00004852"/>
    <w:rsid w:val="00045489"/>
    <w:rsid w:val="00072490"/>
    <w:rsid w:val="00093FA5"/>
    <w:rsid w:val="00195AA3"/>
    <w:rsid w:val="001B0A78"/>
    <w:rsid w:val="002603F1"/>
    <w:rsid w:val="00304D17"/>
    <w:rsid w:val="00315D7F"/>
    <w:rsid w:val="003D3DF7"/>
    <w:rsid w:val="003E459A"/>
    <w:rsid w:val="003E7DD3"/>
    <w:rsid w:val="003F3E77"/>
    <w:rsid w:val="003F69BF"/>
    <w:rsid w:val="00587EA6"/>
    <w:rsid w:val="006327FC"/>
    <w:rsid w:val="006910A0"/>
    <w:rsid w:val="00702173"/>
    <w:rsid w:val="0077506C"/>
    <w:rsid w:val="007E5860"/>
    <w:rsid w:val="007F35EC"/>
    <w:rsid w:val="00802166"/>
    <w:rsid w:val="00826147"/>
    <w:rsid w:val="0085017D"/>
    <w:rsid w:val="008D1C79"/>
    <w:rsid w:val="00A70780"/>
    <w:rsid w:val="00A85A72"/>
    <w:rsid w:val="00A9320B"/>
    <w:rsid w:val="00B4289C"/>
    <w:rsid w:val="00B73836"/>
    <w:rsid w:val="00BB44DE"/>
    <w:rsid w:val="00BF1D11"/>
    <w:rsid w:val="00C041D3"/>
    <w:rsid w:val="00C52408"/>
    <w:rsid w:val="00C52BD8"/>
    <w:rsid w:val="00C5546F"/>
    <w:rsid w:val="00C87AB0"/>
    <w:rsid w:val="00D24D7F"/>
    <w:rsid w:val="00DB7893"/>
    <w:rsid w:val="00DD0F2A"/>
    <w:rsid w:val="00E266FB"/>
    <w:rsid w:val="00ED6995"/>
    <w:rsid w:val="00F96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paragraph" w:styleId="Naslov1">
    <w:name w:val="heading 1"/>
    <w:basedOn w:val="Normal"/>
    <w:next w:val="Normal"/>
    <w:link w:val="Naslov1Char"/>
    <w:uiPriority w:val="9"/>
    <w:qFormat/>
    <w:rsid w:val="00DD0F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Odlomakpopisa">
    <w:name w:val="List Paragraph"/>
    <w:basedOn w:val="Normal"/>
    <w:uiPriority w:val="34"/>
    <w:qFormat/>
    <w:rsid w:val="00F96AE2"/>
    <w:pPr>
      <w:ind w:left="720"/>
      <w:contextualSpacing/>
    </w:pPr>
  </w:style>
  <w:style w:type="paragraph" w:styleId="Zaglavlje">
    <w:name w:val="header"/>
    <w:basedOn w:val="Normal"/>
    <w:link w:val="ZaglavljeChar"/>
    <w:uiPriority w:val="99"/>
    <w:unhideWhenUsed/>
    <w:rsid w:val="00F96AE2"/>
    <w:pPr>
      <w:tabs>
        <w:tab w:val="center" w:pos="4536"/>
        <w:tab w:val="right" w:pos="9072"/>
      </w:tabs>
    </w:pPr>
  </w:style>
  <w:style w:type="character" w:customStyle="1" w:styleId="ZaglavljeChar">
    <w:name w:val="Zaglavlje Char"/>
    <w:basedOn w:val="Zadanifontodlomka"/>
    <w:link w:val="Zaglavlje"/>
    <w:uiPriority w:val="99"/>
    <w:rsid w:val="00F96AE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F96AE2"/>
    <w:pPr>
      <w:tabs>
        <w:tab w:val="center" w:pos="4536"/>
        <w:tab w:val="right" w:pos="9072"/>
      </w:tabs>
    </w:pPr>
  </w:style>
  <w:style w:type="character" w:customStyle="1" w:styleId="PodnojeChar">
    <w:name w:val="Podnožje Char"/>
    <w:basedOn w:val="Zadanifontodlomka"/>
    <w:link w:val="Podnoje"/>
    <w:uiPriority w:val="99"/>
    <w:rsid w:val="00F96AE2"/>
    <w:rPr>
      <w:rFonts w:ascii="Times New Roman" w:eastAsia="Calibri" w:hAnsi="Times New Roman" w:cs="Times New Roman"/>
      <w:sz w:val="24"/>
      <w:lang w:eastAsia="hr-HR"/>
    </w:rPr>
  </w:style>
  <w:style w:type="table" w:styleId="Reetkatablice">
    <w:name w:val="Table Grid"/>
    <w:basedOn w:val="Obinatablica"/>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F96A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AE2"/>
    <w:rPr>
      <w:rFonts w:ascii="Segoe UI" w:eastAsia="Calibri" w:hAnsi="Segoe UI" w:cs="Segoe UI"/>
      <w:sz w:val="18"/>
      <w:szCs w:val="18"/>
      <w:lang w:eastAsia="hr-HR"/>
    </w:rPr>
  </w:style>
  <w:style w:type="character" w:styleId="Hiperveza">
    <w:name w:val="Hyperlink"/>
    <w:basedOn w:val="Zadanifontodlomka"/>
    <w:uiPriority w:val="99"/>
    <w:semiHidden/>
    <w:unhideWhenUsed/>
    <w:rsid w:val="00F96AE2"/>
    <w:rPr>
      <w:color w:val="0000FF"/>
      <w:u w:val="single"/>
    </w:rPr>
  </w:style>
  <w:style w:type="paragraph" w:styleId="Naslov">
    <w:name w:val="Title"/>
    <w:basedOn w:val="Normal"/>
    <w:next w:val="Normal"/>
    <w:link w:val="NaslovChar"/>
    <w:uiPriority w:val="10"/>
    <w:qFormat/>
    <w:rsid w:val="00DD0F2A"/>
    <w:pPr>
      <w:spacing w:after="300"/>
      <w:contextualSpacing/>
      <w:jc w:val="center"/>
    </w:pPr>
    <w:rPr>
      <w:rFonts w:asciiTheme="majorHAnsi" w:eastAsiaTheme="majorEastAsia" w:hAnsiTheme="majorHAnsi" w:cstheme="majorBidi"/>
      <w:color w:val="17365D" w:themeColor="text2" w:themeShade="BF"/>
      <w:spacing w:val="5"/>
      <w:kern w:val="28"/>
      <w:sz w:val="40"/>
      <w:szCs w:val="52"/>
    </w:rPr>
  </w:style>
  <w:style w:type="character" w:customStyle="1" w:styleId="NaslovChar">
    <w:name w:val="Naslov Char"/>
    <w:basedOn w:val="Zadanifontodlomka"/>
    <w:link w:val="Naslov"/>
    <w:uiPriority w:val="10"/>
    <w:rsid w:val="00DD0F2A"/>
    <w:rPr>
      <w:rFonts w:asciiTheme="majorHAnsi" w:eastAsiaTheme="majorEastAsia" w:hAnsiTheme="majorHAnsi" w:cstheme="majorBidi"/>
      <w:color w:val="17365D" w:themeColor="text2" w:themeShade="BF"/>
      <w:spacing w:val="5"/>
      <w:kern w:val="28"/>
      <w:sz w:val="40"/>
      <w:szCs w:val="52"/>
      <w:lang w:eastAsia="hr-HR"/>
    </w:rPr>
  </w:style>
  <w:style w:type="character" w:customStyle="1" w:styleId="Naslov1Char">
    <w:name w:val="Naslov 1 Char"/>
    <w:basedOn w:val="Zadanifontodlomka"/>
    <w:link w:val="Naslov1"/>
    <w:uiPriority w:val="9"/>
    <w:rsid w:val="00DD0F2A"/>
    <w:rPr>
      <w:rFonts w:asciiTheme="majorHAnsi" w:eastAsiaTheme="majorEastAsia" w:hAnsiTheme="majorHAnsi" w:cstheme="majorBidi"/>
      <w:b/>
      <w:bCs/>
      <w:color w:val="365F91" w:themeColor="accent1" w:themeShade="BF"/>
      <w:sz w:val="28"/>
      <w:szCs w:val="2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paragraph" w:styleId="Naslov1">
    <w:name w:val="heading 1"/>
    <w:basedOn w:val="Normal"/>
    <w:next w:val="Normal"/>
    <w:link w:val="Naslov1Char"/>
    <w:uiPriority w:val="9"/>
    <w:qFormat/>
    <w:rsid w:val="00DD0F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Odlomakpopisa">
    <w:name w:val="List Paragraph"/>
    <w:basedOn w:val="Normal"/>
    <w:uiPriority w:val="34"/>
    <w:qFormat/>
    <w:rsid w:val="00F96AE2"/>
    <w:pPr>
      <w:ind w:left="720"/>
      <w:contextualSpacing/>
    </w:pPr>
  </w:style>
  <w:style w:type="paragraph" w:styleId="Zaglavlje">
    <w:name w:val="header"/>
    <w:basedOn w:val="Normal"/>
    <w:link w:val="ZaglavljeChar"/>
    <w:uiPriority w:val="99"/>
    <w:unhideWhenUsed/>
    <w:rsid w:val="00F96AE2"/>
    <w:pPr>
      <w:tabs>
        <w:tab w:val="center" w:pos="4536"/>
        <w:tab w:val="right" w:pos="9072"/>
      </w:tabs>
    </w:pPr>
  </w:style>
  <w:style w:type="character" w:customStyle="1" w:styleId="ZaglavljeChar">
    <w:name w:val="Zaglavlje Char"/>
    <w:basedOn w:val="Zadanifontodlomka"/>
    <w:link w:val="Zaglavlje"/>
    <w:uiPriority w:val="99"/>
    <w:rsid w:val="00F96AE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F96AE2"/>
    <w:pPr>
      <w:tabs>
        <w:tab w:val="center" w:pos="4536"/>
        <w:tab w:val="right" w:pos="9072"/>
      </w:tabs>
    </w:pPr>
  </w:style>
  <w:style w:type="character" w:customStyle="1" w:styleId="PodnojeChar">
    <w:name w:val="Podnožje Char"/>
    <w:basedOn w:val="Zadanifontodlomka"/>
    <w:link w:val="Podnoje"/>
    <w:uiPriority w:val="99"/>
    <w:rsid w:val="00F96AE2"/>
    <w:rPr>
      <w:rFonts w:ascii="Times New Roman" w:eastAsia="Calibri" w:hAnsi="Times New Roman" w:cs="Times New Roman"/>
      <w:sz w:val="24"/>
      <w:lang w:eastAsia="hr-HR"/>
    </w:rPr>
  </w:style>
  <w:style w:type="table" w:styleId="Reetkatablice">
    <w:name w:val="Table Grid"/>
    <w:basedOn w:val="Obinatablica"/>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F96A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AE2"/>
    <w:rPr>
      <w:rFonts w:ascii="Segoe UI" w:eastAsia="Calibri" w:hAnsi="Segoe UI" w:cs="Segoe UI"/>
      <w:sz w:val="18"/>
      <w:szCs w:val="18"/>
      <w:lang w:eastAsia="hr-HR"/>
    </w:rPr>
  </w:style>
  <w:style w:type="character" w:styleId="Hiperveza">
    <w:name w:val="Hyperlink"/>
    <w:basedOn w:val="Zadanifontodlomka"/>
    <w:uiPriority w:val="99"/>
    <w:semiHidden/>
    <w:unhideWhenUsed/>
    <w:rsid w:val="00F96AE2"/>
    <w:rPr>
      <w:color w:val="0000FF"/>
      <w:u w:val="single"/>
    </w:rPr>
  </w:style>
  <w:style w:type="paragraph" w:styleId="Naslov">
    <w:name w:val="Title"/>
    <w:basedOn w:val="Normal"/>
    <w:next w:val="Normal"/>
    <w:link w:val="NaslovChar"/>
    <w:uiPriority w:val="10"/>
    <w:qFormat/>
    <w:rsid w:val="00DD0F2A"/>
    <w:pPr>
      <w:spacing w:after="300"/>
      <w:contextualSpacing/>
      <w:jc w:val="center"/>
    </w:pPr>
    <w:rPr>
      <w:rFonts w:asciiTheme="majorHAnsi" w:eastAsiaTheme="majorEastAsia" w:hAnsiTheme="majorHAnsi" w:cstheme="majorBidi"/>
      <w:color w:val="17365D" w:themeColor="text2" w:themeShade="BF"/>
      <w:spacing w:val="5"/>
      <w:kern w:val="28"/>
      <w:sz w:val="40"/>
      <w:szCs w:val="52"/>
    </w:rPr>
  </w:style>
  <w:style w:type="character" w:customStyle="1" w:styleId="NaslovChar">
    <w:name w:val="Naslov Char"/>
    <w:basedOn w:val="Zadanifontodlomka"/>
    <w:link w:val="Naslov"/>
    <w:uiPriority w:val="10"/>
    <w:rsid w:val="00DD0F2A"/>
    <w:rPr>
      <w:rFonts w:asciiTheme="majorHAnsi" w:eastAsiaTheme="majorEastAsia" w:hAnsiTheme="majorHAnsi" w:cstheme="majorBidi"/>
      <w:color w:val="17365D" w:themeColor="text2" w:themeShade="BF"/>
      <w:spacing w:val="5"/>
      <w:kern w:val="28"/>
      <w:sz w:val="40"/>
      <w:szCs w:val="52"/>
      <w:lang w:eastAsia="hr-HR"/>
    </w:rPr>
  </w:style>
  <w:style w:type="character" w:customStyle="1" w:styleId="Naslov1Char">
    <w:name w:val="Naslov 1 Char"/>
    <w:basedOn w:val="Zadanifontodlomka"/>
    <w:link w:val="Naslov1"/>
    <w:uiPriority w:val="9"/>
    <w:rsid w:val="00DD0F2A"/>
    <w:rPr>
      <w:rFonts w:asciiTheme="majorHAnsi" w:eastAsiaTheme="majorEastAsia" w:hAnsiTheme="majorHAnsi" w:cstheme="majorBidi"/>
      <w:b/>
      <w:bCs/>
      <w:color w:val="365F91" w:themeColor="accent1" w:themeShade="BF"/>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ingo.hr/page/standard-cost-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83E68-8B8F-4EBA-AAFB-AC313ECC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3909</Words>
  <Characters>22282</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26139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Sekačić Kristina</cp:lastModifiedBy>
  <cp:revision>2</cp:revision>
  <cp:lastPrinted>2017-06-28T10:35:00Z</cp:lastPrinted>
  <dcterms:created xsi:type="dcterms:W3CDTF">2017-07-14T14:00:00Z</dcterms:created>
  <dcterms:modified xsi:type="dcterms:W3CDTF">2017-07-14T14:00:00Z</dcterms:modified>
</cp:coreProperties>
</file>